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城镇老旧小区改造可复制政策机制清单（</w:t>
      </w:r>
      <w:r>
        <w:rPr>
          <w:rFonts w:hint="eastAsia" w:ascii="方正小标宋简体" w:hAnsi="方正小标宋简体" w:eastAsia="方正小标宋简体" w:cs="方正小标宋简体"/>
          <w:sz w:val="44"/>
          <w:szCs w:val="44"/>
          <w:lang w:eastAsia="zh-CN"/>
        </w:rPr>
        <w:t>第七批</w:t>
      </w:r>
      <w:r>
        <w:rPr>
          <w:rFonts w:hint="eastAsia" w:ascii="方正小标宋简体" w:hAnsi="方正小标宋简体" w:eastAsia="方正小标宋简体" w:cs="方正小标宋简体"/>
          <w:sz w:val="44"/>
          <w:szCs w:val="44"/>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964"/>
        <w:gridCol w:w="1366"/>
        <w:gridCol w:w="1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455" w:type="dxa"/>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964" w:type="dxa"/>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政策</w:t>
            </w:r>
          </w:p>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机制</w:t>
            </w:r>
          </w:p>
        </w:tc>
        <w:tc>
          <w:tcPr>
            <w:tcW w:w="1366" w:type="dxa"/>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主要</w:t>
            </w:r>
          </w:p>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举措</w:t>
            </w:r>
          </w:p>
        </w:tc>
        <w:tc>
          <w:tcPr>
            <w:tcW w:w="10893" w:type="dxa"/>
            <w:noWrap w:val="0"/>
            <w:vAlign w:val="center"/>
          </w:tcPr>
          <w:p>
            <w:pPr>
              <w:spacing w:line="320" w:lineRule="exact"/>
              <w:jc w:val="center"/>
              <w:rPr>
                <w:rFonts w:hint="eastAsia" w:ascii="仿宋_GB2312" w:hAnsi="仿宋_GB2312" w:eastAsia="仿宋_GB2312" w:cs="仿宋_GB2312"/>
                <w:sz w:val="24"/>
                <w:szCs w:val="24"/>
              </w:rPr>
            </w:pPr>
            <w:r>
              <w:rPr>
                <w:rFonts w:hint="eastAsia" w:ascii="黑体" w:hAnsi="黑体" w:eastAsia="黑体" w:cs="黑体"/>
                <w:sz w:val="28"/>
                <w:szCs w:val="28"/>
              </w:rPr>
              <w:t>具体做法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jc w:val="center"/>
        </w:trPr>
        <w:tc>
          <w:tcPr>
            <w:tcW w:w="455" w:type="dxa"/>
            <w:vMerge w:val="restart"/>
            <w:noWrap w:val="0"/>
            <w:vAlign w:val="center"/>
          </w:tcPr>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r>
              <w:rPr>
                <w:rFonts w:hint="eastAsia" w:ascii="黑体" w:hAnsi="黑体" w:eastAsia="黑体" w:cs="黑体"/>
                <w:color w:val="auto"/>
                <w:sz w:val="24"/>
                <w:lang w:eastAsia="zh-CN"/>
              </w:rPr>
              <w:t>一</w:t>
            </w: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pStyle w:val="2"/>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pStyle w:val="2"/>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pStyle w:val="2"/>
              <w:rPr>
                <w:rFonts w:hint="eastAsia"/>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eastAsia="宋体"/>
                <w:lang w:eastAsia="zh-CN"/>
              </w:rPr>
            </w:pPr>
            <w:r>
              <w:rPr>
                <w:rFonts w:hint="eastAsia" w:ascii="黑体" w:hAnsi="黑体" w:eastAsia="黑体" w:cs="黑体"/>
                <w:color w:val="auto"/>
                <w:sz w:val="24"/>
                <w:lang w:eastAsia="zh-CN"/>
              </w:rPr>
              <w:t>一</w:t>
            </w:r>
          </w:p>
        </w:tc>
        <w:tc>
          <w:tcPr>
            <w:tcW w:w="964" w:type="dxa"/>
            <w:vMerge w:val="restart"/>
            <w:noWrap w:val="0"/>
            <w:vAlign w:val="center"/>
          </w:tcPr>
          <w:p>
            <w:pPr>
              <w:rPr>
                <w:rFonts w:hint="eastAsia" w:ascii="黑体" w:hAnsi="黑体" w:eastAsia="黑体" w:cs="黑体"/>
                <w:color w:val="auto"/>
                <w:sz w:val="24"/>
              </w:rPr>
            </w:pPr>
          </w:p>
          <w:p>
            <w:pPr>
              <w:rPr>
                <w:rFonts w:hint="eastAsia" w:ascii="黑体" w:hAnsi="黑体" w:eastAsia="黑体" w:cs="黑体"/>
                <w:color w:val="auto"/>
                <w:sz w:val="24"/>
              </w:rPr>
            </w:pPr>
          </w:p>
          <w:p>
            <w:pPr>
              <w:rPr>
                <w:rFonts w:hint="eastAsia" w:ascii="黑体" w:hAnsi="黑体" w:eastAsia="黑体" w:cs="黑体"/>
                <w:color w:val="auto"/>
                <w:sz w:val="24"/>
              </w:rPr>
            </w:pPr>
          </w:p>
          <w:p>
            <w:pPr>
              <w:rPr>
                <w:rFonts w:hint="eastAsia" w:ascii="黑体" w:hAnsi="黑体" w:eastAsia="黑体" w:cs="黑体"/>
                <w:color w:val="auto"/>
                <w:sz w:val="24"/>
              </w:rPr>
            </w:pPr>
          </w:p>
          <w:p>
            <w:pPr>
              <w:rPr>
                <w:rFonts w:hint="eastAsia" w:ascii="黑体" w:hAnsi="黑体" w:eastAsia="黑体" w:cs="黑体"/>
                <w:color w:val="auto"/>
                <w:sz w:val="24"/>
              </w:rPr>
            </w:pPr>
          </w:p>
          <w:p>
            <w:pPr>
              <w:rPr>
                <w:rFonts w:hint="eastAsia" w:ascii="黑体" w:hAnsi="黑体" w:eastAsia="黑体" w:cs="黑体"/>
                <w:color w:val="auto"/>
                <w:sz w:val="24"/>
              </w:rPr>
            </w:pPr>
          </w:p>
          <w:p>
            <w:pPr>
              <w:rPr>
                <w:rFonts w:hint="eastAsia" w:ascii="黑体" w:hAnsi="黑体" w:eastAsia="黑体" w:cs="黑体"/>
                <w:color w:val="auto"/>
                <w:sz w:val="24"/>
              </w:rPr>
            </w:pPr>
          </w:p>
          <w:p>
            <w:pPr>
              <w:rPr>
                <w:rFonts w:hint="eastAsia" w:ascii="黑体" w:hAnsi="黑体" w:eastAsia="黑体" w:cs="黑体"/>
                <w:color w:val="auto"/>
                <w:sz w:val="24"/>
              </w:rPr>
            </w:pPr>
            <w:r>
              <w:rPr>
                <w:rFonts w:hint="eastAsia" w:ascii="黑体" w:hAnsi="黑体" w:eastAsia="黑体" w:cs="黑体"/>
                <w:color w:val="auto"/>
                <w:sz w:val="24"/>
              </w:rPr>
              <w:t>精准确定改造内容</w:t>
            </w:r>
            <w:r>
              <w:rPr>
                <w:rFonts w:hint="eastAsia" w:ascii="黑体" w:hAnsi="黑体" w:eastAsia="黑体" w:cs="黑体"/>
                <w:color w:val="auto"/>
                <w:sz w:val="24"/>
                <w:lang w:eastAsia="zh-CN"/>
              </w:rPr>
              <w:t>、着力补齐设施和服务短板</w:t>
            </w:r>
          </w:p>
          <w:p>
            <w:pPr>
              <w:spacing w:line="320" w:lineRule="exact"/>
              <w:jc w:val="left"/>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r>
              <w:rPr>
                <w:rFonts w:hint="eastAsia" w:ascii="黑体" w:hAnsi="黑体" w:eastAsia="黑体" w:cs="黑体"/>
                <w:color w:val="auto"/>
                <w:sz w:val="24"/>
                <w:szCs w:val="24"/>
              </w:rPr>
              <w:t>精准确定改造内容</w:t>
            </w:r>
            <w:r>
              <w:rPr>
                <w:rFonts w:hint="eastAsia" w:ascii="黑体" w:hAnsi="黑体" w:eastAsia="黑体" w:cs="黑体"/>
                <w:color w:val="auto"/>
                <w:sz w:val="24"/>
                <w:szCs w:val="24"/>
                <w:lang w:eastAsia="zh-CN"/>
              </w:rPr>
              <w:t>、着力补齐设施和服务短板</w:t>
            </w:r>
          </w:p>
          <w:p>
            <w:pPr>
              <w:rPr>
                <w:rFonts w:hint="eastAsia"/>
              </w:rPr>
            </w:pPr>
          </w:p>
        </w:tc>
        <w:tc>
          <w:tcPr>
            <w:tcW w:w="1366" w:type="dxa"/>
            <w:noWrap w:val="0"/>
            <w:vAlign w:val="center"/>
          </w:tcPr>
          <w:p>
            <w:pPr>
              <w:pStyle w:val="8"/>
              <w:spacing w:line="320" w:lineRule="exact"/>
              <w:ind w:left="0" w:leftChars="0" w:firstLine="0" w:firstLineChars="0"/>
              <w:rPr>
                <w:rFonts w:hint="eastAsia" w:ascii="楷体_GB2312" w:hAnsi="楷体_GB2312" w:eastAsia="楷体_GB2312" w:cs="楷体_GB2312"/>
                <w:b/>
                <w:bCs/>
                <w:color w:val="auto"/>
                <w:sz w:val="24"/>
                <w:szCs w:val="24"/>
                <w:lang w:eastAsia="zh-CN"/>
              </w:rPr>
            </w:pPr>
            <w:r>
              <w:rPr>
                <w:rFonts w:hint="eastAsia" w:ascii="楷体_GB2312" w:hAnsi="楷体_GB2312" w:eastAsia="楷体_GB2312" w:cs="楷体_GB2312"/>
                <w:b/>
                <w:bCs/>
                <w:color w:val="auto"/>
                <w:sz w:val="24"/>
                <w:szCs w:val="24"/>
                <w:lang w:val="en-US" w:eastAsia="zh-CN"/>
              </w:rPr>
              <w:t>（一）建立“先体检、后改造”工作机制</w:t>
            </w:r>
          </w:p>
        </w:tc>
        <w:tc>
          <w:tcPr>
            <w:tcW w:w="10893"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481"/>
              <w:outlineLvl w:val="9"/>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b w:val="0"/>
                <w:bCs w:val="0"/>
                <w:color w:val="000000"/>
                <w:kern w:val="0"/>
                <w:sz w:val="24"/>
                <w:szCs w:val="24"/>
                <w:lang w:eastAsia="zh-CN"/>
              </w:rPr>
              <w:t>北京市石景山区</w:t>
            </w:r>
            <w:r>
              <w:rPr>
                <w:rFonts w:hint="eastAsia" w:ascii="仿宋_GB2312" w:hAnsi="仿宋_GB2312" w:eastAsia="仿宋_GB2312" w:cs="仿宋_GB2312"/>
                <w:b w:val="0"/>
                <w:bCs w:val="0"/>
                <w:color w:val="000000"/>
                <w:kern w:val="0"/>
                <w:sz w:val="24"/>
                <w:szCs w:val="24"/>
                <w:lang w:val="en-US" w:eastAsia="zh-CN"/>
              </w:rPr>
              <w:t>依据</w:t>
            </w:r>
            <w:r>
              <w:rPr>
                <w:rFonts w:hint="eastAsia" w:ascii="仿宋_GB2312" w:hAnsi="仿宋_GB2312" w:eastAsia="仿宋_GB2312" w:cs="仿宋_GB2312"/>
                <w:b w:val="0"/>
                <w:bCs w:val="0"/>
                <w:color w:val="000000"/>
                <w:kern w:val="0"/>
                <w:sz w:val="24"/>
                <w:szCs w:val="24"/>
                <w:lang w:eastAsia="zh-CN"/>
              </w:rPr>
              <w:t>建筑本体空间、小区规划与环境状况、小区基础设施等</w:t>
            </w:r>
            <w:r>
              <w:rPr>
                <w:rFonts w:hint="eastAsia" w:ascii="仿宋_GB2312" w:hAnsi="仿宋_GB2312" w:eastAsia="仿宋_GB2312" w:cs="仿宋_GB2312"/>
                <w:b w:val="0"/>
                <w:bCs w:val="0"/>
                <w:color w:val="000000"/>
                <w:kern w:val="0"/>
                <w:sz w:val="24"/>
                <w:szCs w:val="24"/>
                <w:lang w:val="en-US" w:eastAsia="zh-CN"/>
              </w:rPr>
              <w:t>7个一级指标、26个二级指标、55个三级指标构成的老旧小区</w:t>
            </w:r>
            <w:r>
              <w:rPr>
                <w:rFonts w:hint="eastAsia" w:ascii="仿宋_GB2312" w:hAnsi="仿宋_GB2312" w:eastAsia="仿宋_GB2312" w:cs="仿宋_GB2312"/>
                <w:b w:val="0"/>
                <w:bCs w:val="0"/>
                <w:color w:val="000000"/>
                <w:kern w:val="0"/>
                <w:sz w:val="24"/>
                <w:szCs w:val="24"/>
                <w:lang w:eastAsia="zh-CN"/>
              </w:rPr>
              <w:t>宜居性评价指标体系</w:t>
            </w:r>
            <w:r>
              <w:rPr>
                <w:rFonts w:hint="eastAsia" w:ascii="仿宋_GB2312" w:hAnsi="仿宋_GB2312" w:eastAsia="仿宋_GB2312" w:cs="仿宋_GB2312"/>
                <w:b w:val="0"/>
                <w:bCs w:val="0"/>
                <w:color w:val="000000"/>
                <w:kern w:val="0"/>
                <w:sz w:val="24"/>
                <w:szCs w:val="24"/>
                <w:lang w:val="en-US" w:eastAsia="zh-CN"/>
              </w:rPr>
              <w:t>，</w:t>
            </w:r>
            <w:r>
              <w:rPr>
                <w:rFonts w:hint="eastAsia" w:ascii="仿宋_GB2312" w:hAnsi="仿宋_GB2312" w:eastAsia="仿宋_GB2312" w:cs="仿宋_GB2312"/>
                <w:b w:val="0"/>
                <w:bCs w:val="0"/>
                <w:color w:val="000000"/>
                <w:kern w:val="0"/>
                <w:sz w:val="24"/>
                <w:szCs w:val="24"/>
                <w:lang w:eastAsia="zh-CN"/>
              </w:rPr>
              <w:t>对小区进行多维度、全寿命周期评价，对老旧小区设施及服务等情况整体打分排序，为制定改造计划、改造方案提供参考。建立责任设计师制度，全区</w:t>
            </w:r>
            <w:r>
              <w:rPr>
                <w:rFonts w:hint="default" w:ascii="仿宋_GB2312" w:hAnsi="仿宋_GB2312" w:eastAsia="仿宋_GB2312" w:cs="仿宋_GB2312"/>
                <w:b w:val="0"/>
                <w:bCs w:val="0"/>
                <w:color w:val="000000"/>
                <w:kern w:val="0"/>
                <w:sz w:val="24"/>
                <w:szCs w:val="24"/>
                <w:lang w:val="en-US" w:eastAsia="zh-CN"/>
              </w:rPr>
              <w:t>9个街道全部选聘由首席</w:t>
            </w:r>
            <w:r>
              <w:rPr>
                <w:rFonts w:hint="eastAsia" w:ascii="仿宋_GB2312" w:hAnsi="仿宋_GB2312" w:eastAsia="仿宋_GB2312" w:cs="仿宋_GB2312"/>
                <w:b w:val="0"/>
                <w:bCs w:val="0"/>
                <w:color w:val="000000"/>
                <w:kern w:val="0"/>
                <w:sz w:val="24"/>
                <w:szCs w:val="24"/>
                <w:lang w:eastAsia="zh-CN"/>
              </w:rPr>
              <w:t>设计</w:t>
            </w:r>
            <w:r>
              <w:rPr>
                <w:rFonts w:hint="default" w:ascii="仿宋_GB2312" w:hAnsi="仿宋_GB2312" w:eastAsia="仿宋_GB2312" w:cs="仿宋_GB2312"/>
                <w:b w:val="0"/>
                <w:bCs w:val="0"/>
                <w:color w:val="000000"/>
                <w:kern w:val="0"/>
                <w:sz w:val="24"/>
                <w:szCs w:val="24"/>
                <w:lang w:val="en-US" w:eastAsia="zh-CN"/>
              </w:rPr>
              <w:t>师牵头的责任</w:t>
            </w:r>
            <w:r>
              <w:rPr>
                <w:rFonts w:hint="eastAsia" w:ascii="仿宋_GB2312" w:hAnsi="仿宋_GB2312" w:eastAsia="仿宋_GB2312" w:cs="仿宋_GB2312"/>
                <w:b w:val="0"/>
                <w:bCs w:val="0"/>
                <w:color w:val="000000"/>
                <w:kern w:val="0"/>
                <w:sz w:val="24"/>
                <w:szCs w:val="24"/>
                <w:lang w:eastAsia="zh-CN"/>
              </w:rPr>
              <w:t>设计</w:t>
            </w:r>
            <w:r>
              <w:rPr>
                <w:rFonts w:hint="default" w:ascii="仿宋_GB2312" w:hAnsi="仿宋_GB2312" w:eastAsia="仿宋_GB2312" w:cs="仿宋_GB2312"/>
                <w:b w:val="0"/>
                <w:bCs w:val="0"/>
                <w:color w:val="000000"/>
                <w:kern w:val="0"/>
                <w:sz w:val="24"/>
                <w:szCs w:val="24"/>
                <w:lang w:val="en-US" w:eastAsia="zh-CN"/>
              </w:rPr>
              <w:t>师团队，推行改造项目“居民点单”，责任</w:t>
            </w:r>
            <w:r>
              <w:rPr>
                <w:rFonts w:hint="eastAsia" w:ascii="仿宋_GB2312" w:hAnsi="仿宋_GB2312" w:eastAsia="仿宋_GB2312" w:cs="仿宋_GB2312"/>
                <w:b w:val="0"/>
                <w:bCs w:val="0"/>
                <w:color w:val="000000"/>
                <w:kern w:val="0"/>
                <w:sz w:val="24"/>
                <w:szCs w:val="24"/>
                <w:lang w:eastAsia="zh-CN"/>
              </w:rPr>
              <w:t>设计</w:t>
            </w:r>
            <w:r>
              <w:rPr>
                <w:rFonts w:hint="default" w:ascii="仿宋_GB2312" w:hAnsi="仿宋_GB2312" w:eastAsia="仿宋_GB2312" w:cs="仿宋_GB2312"/>
                <w:b w:val="0"/>
                <w:bCs w:val="0"/>
                <w:color w:val="000000"/>
                <w:kern w:val="0"/>
                <w:sz w:val="24"/>
                <w:szCs w:val="24"/>
                <w:lang w:val="en-US" w:eastAsia="zh-CN"/>
              </w:rPr>
              <w:t>师“把脉开方”，做到“一</w:t>
            </w:r>
            <w:r>
              <w:rPr>
                <w:rFonts w:hint="eastAsia" w:ascii="仿宋_GB2312" w:hAnsi="仿宋_GB2312" w:eastAsia="仿宋_GB2312" w:cs="仿宋_GB2312"/>
                <w:b w:val="0"/>
                <w:bCs w:val="0"/>
                <w:color w:val="000000"/>
                <w:kern w:val="0"/>
                <w:sz w:val="24"/>
                <w:szCs w:val="24"/>
                <w:lang w:val="en-US" w:eastAsia="zh-CN"/>
              </w:rPr>
              <w:t>小区</w:t>
            </w:r>
            <w:r>
              <w:rPr>
                <w:rFonts w:hint="default" w:ascii="仿宋_GB2312" w:hAnsi="仿宋_GB2312" w:eastAsia="仿宋_GB2312" w:cs="仿宋_GB2312"/>
                <w:b w:val="0"/>
                <w:bCs w:val="0"/>
                <w:color w:val="000000"/>
                <w:kern w:val="0"/>
                <w:sz w:val="24"/>
                <w:szCs w:val="24"/>
                <w:lang w:val="en-US" w:eastAsia="zh-CN"/>
              </w:rPr>
              <w:t>一策”</w:t>
            </w:r>
            <w:r>
              <w:rPr>
                <w:rFonts w:hint="eastAsia" w:ascii="仿宋_GB2312" w:hAnsi="仿宋_GB2312" w:eastAsia="仿宋_GB2312" w:cs="仿宋_GB2312"/>
                <w:b w:val="0"/>
                <w:bCs w:val="0"/>
                <w:color w:val="000000"/>
                <w:kern w:val="0"/>
                <w:sz w:val="24"/>
                <w:szCs w:val="24"/>
                <w:lang w:val="en-US" w:eastAsia="zh-CN"/>
              </w:rPr>
              <w:t>，开展“沉浸式”小区设计。</w:t>
            </w:r>
          </w:p>
          <w:p>
            <w:pPr>
              <w:keepNext w:val="0"/>
              <w:keepLines w:val="0"/>
              <w:pageBreakBefore w:val="0"/>
              <w:kinsoku/>
              <w:wordWrap/>
              <w:overflowPunct/>
              <w:topLinePunct w:val="0"/>
              <w:autoSpaceDE/>
              <w:autoSpaceDN/>
              <w:bidi w:val="0"/>
              <w:adjustRightInd/>
              <w:snapToGrid/>
              <w:spacing w:line="320" w:lineRule="exact"/>
              <w:ind w:firstLine="481"/>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b w:val="0"/>
                <w:bCs w:val="0"/>
                <w:color w:val="000000"/>
                <w:spacing w:val="0"/>
                <w:kern w:val="0"/>
                <w:sz w:val="24"/>
                <w:szCs w:val="24"/>
                <w:lang w:val="en-US" w:eastAsia="zh-CN"/>
              </w:rPr>
              <w:t>安徽省</w:t>
            </w:r>
            <w:r>
              <w:rPr>
                <w:rFonts w:hint="eastAsia" w:ascii="仿宋_GB2312" w:hAnsi="仿宋_GB2312" w:eastAsia="仿宋_GB2312" w:cs="仿宋_GB2312"/>
                <w:b w:val="0"/>
                <w:bCs w:val="0"/>
                <w:color w:val="000000"/>
                <w:kern w:val="0"/>
                <w:sz w:val="24"/>
                <w:szCs w:val="24"/>
                <w:lang w:val="en-US" w:eastAsia="zh-CN" w:bidi="ar-SA"/>
              </w:rPr>
              <w:t>滁州</w:t>
            </w:r>
            <w:r>
              <w:rPr>
                <w:rFonts w:hint="eastAsia" w:ascii="仿宋_GB2312" w:hAnsi="仿宋_GB2312" w:eastAsia="仿宋_GB2312" w:cs="仿宋_GB2312"/>
                <w:b w:val="0"/>
                <w:bCs w:val="0"/>
                <w:color w:val="000000"/>
                <w:spacing w:val="0"/>
                <w:kern w:val="0"/>
                <w:sz w:val="24"/>
                <w:szCs w:val="24"/>
                <w:lang w:val="en-US" w:eastAsia="zh-CN"/>
              </w:rPr>
              <w:t>市坚持体检先行，组织安徽建筑大学组建技术服务团队，系统梳理老旧片区存在的问题和短板，并利用微信小程序广泛动员居民参与体检问卷，充分吸取群众意见，撰写城市体检报告。根据体检结果，围绕老旧小区安全质量隐患、社区功能短板、长效管理等问题，科学谋划年度改造项目，靶向确定改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jc w:val="center"/>
        </w:trPr>
        <w:tc>
          <w:tcPr>
            <w:tcW w:w="455" w:type="dxa"/>
            <w:vMerge w:val="continue"/>
            <w:noWrap w:val="0"/>
            <w:vAlign w:val="center"/>
          </w:tcPr>
          <w:p>
            <w:pPr>
              <w:rPr>
                <w:rFonts w:hint="eastAsia"/>
              </w:rPr>
            </w:pPr>
          </w:p>
        </w:tc>
        <w:tc>
          <w:tcPr>
            <w:tcW w:w="964" w:type="dxa"/>
            <w:vMerge w:val="continue"/>
            <w:noWrap w:val="0"/>
            <w:vAlign w:val="center"/>
          </w:tcPr>
          <w:p>
            <w:pPr>
              <w:spacing w:line="320" w:lineRule="exact"/>
              <w:jc w:val="left"/>
              <w:rPr>
                <w:rFonts w:hint="eastAsia" w:ascii="黑体" w:hAnsi="黑体" w:eastAsia="黑体" w:cs="黑体"/>
                <w:b w:val="0"/>
                <w:bCs w:val="0"/>
                <w:sz w:val="24"/>
                <w:szCs w:val="24"/>
              </w:rPr>
            </w:pPr>
          </w:p>
        </w:tc>
        <w:tc>
          <w:tcPr>
            <w:tcW w:w="1366" w:type="dxa"/>
            <w:noWrap w:val="0"/>
            <w:vAlign w:val="center"/>
          </w:tcPr>
          <w:p>
            <w:pPr>
              <w:spacing w:line="320" w:lineRule="exact"/>
              <w:rPr>
                <w:rFonts w:hint="eastAsia" w:ascii="楷体_GB2312" w:hAnsi="楷体_GB2312" w:eastAsia="楷体_GB2312" w:cs="楷体_GB2312"/>
                <w:b/>
                <w:bCs/>
                <w:color w:val="auto"/>
                <w:sz w:val="24"/>
                <w:szCs w:val="24"/>
                <w:lang w:eastAsia="zh-CN"/>
              </w:rPr>
            </w:pPr>
            <w:r>
              <w:rPr>
                <w:rFonts w:hint="eastAsia" w:ascii="楷体_GB2312" w:hAnsi="楷体_GB2312" w:eastAsia="楷体_GB2312" w:cs="楷体_GB2312"/>
                <w:b/>
                <w:bCs/>
                <w:color w:val="auto"/>
                <w:sz w:val="24"/>
                <w:szCs w:val="24"/>
                <w:lang w:eastAsia="zh-CN"/>
              </w:rPr>
              <w:t>（二）完善“一老一小”服务设施</w:t>
            </w:r>
          </w:p>
        </w:tc>
        <w:tc>
          <w:tcPr>
            <w:tcW w:w="10893"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481"/>
              <w:outlineLvl w:val="9"/>
              <w:rPr>
                <w:rFonts w:hint="default" w:ascii="仿宋_GB2312" w:hAnsi="仿宋_GB2312" w:eastAsia="仿宋_GB2312" w:cs="仿宋_GB2312"/>
                <w:b w:val="0"/>
                <w:bCs w:val="0"/>
                <w:color w:val="000000"/>
                <w:spacing w:val="0"/>
                <w:kern w:val="0"/>
                <w:sz w:val="24"/>
                <w:szCs w:val="24"/>
                <w:lang w:val="en-US" w:eastAsia="zh-Hans"/>
              </w:rPr>
            </w:pPr>
            <w:r>
              <w:rPr>
                <w:rFonts w:hint="eastAsia" w:ascii="仿宋_GB2312" w:hAnsi="仿宋_GB2312" w:eastAsia="仿宋_GB2312" w:cs="仿宋_GB2312"/>
                <w:b w:val="0"/>
                <w:bCs w:val="0"/>
                <w:color w:val="000000"/>
                <w:spacing w:val="0"/>
                <w:kern w:val="0"/>
                <w:sz w:val="24"/>
                <w:szCs w:val="24"/>
                <w:lang w:val="en-US" w:eastAsia="zh-CN"/>
              </w:rPr>
              <w:t>1.广东省深圳市在改造中推进适儿化、适老化改造，吸引社会力量投资参与“一老一小”等服务配套设施建设，有效促进老旧小区“一老一小”服务能力扩容，为实现“幼有善育”“老有颐养”目标提供有力支撑。例如：</w:t>
            </w:r>
            <w:r>
              <w:rPr>
                <w:rFonts w:hint="eastAsia" w:ascii="仿宋_GB2312" w:hAnsi="仿宋_GB2312" w:eastAsia="仿宋_GB2312" w:cs="仿宋_GB2312"/>
                <w:b w:val="0"/>
                <w:bCs w:val="0"/>
                <w:color w:val="000000"/>
                <w:spacing w:val="0"/>
                <w:kern w:val="0"/>
                <w:sz w:val="24"/>
                <w:szCs w:val="24"/>
                <w:lang w:val="en-US" w:eastAsia="zh-Hans"/>
              </w:rPr>
              <w:t>福田区益田</w:t>
            </w:r>
            <w:r>
              <w:rPr>
                <w:rFonts w:hint="eastAsia" w:ascii="仿宋_GB2312" w:hAnsi="仿宋_GB2312" w:eastAsia="仿宋_GB2312" w:cs="仿宋_GB2312"/>
                <w:b w:val="0"/>
                <w:bCs w:val="0"/>
                <w:color w:val="000000"/>
                <w:spacing w:val="0"/>
                <w:kern w:val="0"/>
                <w:sz w:val="24"/>
                <w:szCs w:val="24"/>
                <w:lang w:val="en-US" w:eastAsia="zh-CN"/>
              </w:rPr>
              <w:t>村小区改造项目增设长者食堂，吸引社会养老专业机构投资530万元改造颐养中心工程，与医疗机构合作打造“医养结合”养老模式；增设占地面积约2500平方米的儿童友好乐园，配备多类型安全的儿童游乐设施。</w:t>
            </w:r>
          </w:p>
          <w:p>
            <w:pPr>
              <w:keepNext w:val="0"/>
              <w:keepLines w:val="0"/>
              <w:pageBreakBefore w:val="0"/>
              <w:kinsoku/>
              <w:wordWrap/>
              <w:overflowPunct/>
              <w:topLinePunct w:val="0"/>
              <w:autoSpaceDE/>
              <w:autoSpaceDN/>
              <w:bidi w:val="0"/>
              <w:adjustRightInd/>
              <w:snapToGrid/>
              <w:spacing w:line="320" w:lineRule="exact"/>
              <w:ind w:firstLine="481"/>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color w:val="000000"/>
                <w:spacing w:val="0"/>
                <w:kern w:val="0"/>
                <w:sz w:val="24"/>
                <w:szCs w:val="24"/>
                <w:lang w:val="en-US" w:eastAsia="zh-CN"/>
              </w:rPr>
              <w:t>2.北京市石景山区引导物业公司结合改造，通过线上线下方式延伸提供居家养老、助餐、超市生鲜售卖等服务。例如，古城南路西小区改造中，将原有自行车棚提升改造为居民服务中心，以及可供电动自行车充电、配备智能消防系统的车棚，同时合理增设了老年餐桌、便民菜站等便民服务设施，为居民提供助餐、理发等便民服务</w:t>
            </w:r>
            <w:r>
              <w:rPr>
                <w:rFonts w:hint="default" w:ascii="仿宋_GB2312" w:hAnsi="仿宋_GB2312" w:eastAsia="仿宋_GB2312" w:cs="仿宋_GB2312"/>
                <w:b w:val="0"/>
                <w:bCs w:val="0"/>
                <w:color w:val="000000"/>
                <w:spacing w:val="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455" w:type="dxa"/>
            <w:vMerge w:val="continue"/>
            <w:noWrap w:val="0"/>
            <w:vAlign w:val="center"/>
          </w:tcPr>
          <w:p>
            <w:pPr>
              <w:rPr>
                <w:rFonts w:hint="eastAsia"/>
              </w:rPr>
            </w:pPr>
          </w:p>
        </w:tc>
        <w:tc>
          <w:tcPr>
            <w:tcW w:w="964" w:type="dxa"/>
            <w:vMerge w:val="continue"/>
            <w:noWrap w:val="0"/>
            <w:vAlign w:val="center"/>
          </w:tcPr>
          <w:p>
            <w:pPr>
              <w:spacing w:line="320" w:lineRule="exact"/>
              <w:jc w:val="left"/>
              <w:rPr>
                <w:rFonts w:hint="eastAsia" w:ascii="黑体" w:hAnsi="黑体" w:eastAsia="黑体" w:cs="黑体"/>
                <w:b w:val="0"/>
                <w:bCs w:val="0"/>
                <w:sz w:val="24"/>
                <w:szCs w:val="24"/>
              </w:rPr>
            </w:pPr>
          </w:p>
        </w:tc>
        <w:tc>
          <w:tcPr>
            <w:tcW w:w="1366" w:type="dxa"/>
            <w:noWrap w:val="0"/>
            <w:vAlign w:val="center"/>
          </w:tcPr>
          <w:p>
            <w:pPr>
              <w:spacing w:line="320" w:lineRule="exact"/>
              <w:rPr>
                <w:rFonts w:hint="eastAsia" w:ascii="楷体_GB2312" w:hAnsi="楷体_GB2312" w:eastAsia="楷体_GB2312" w:cs="楷体_GB2312"/>
                <w:b/>
                <w:bCs/>
                <w:color w:val="auto"/>
                <w:sz w:val="24"/>
                <w:szCs w:val="24"/>
                <w:lang w:eastAsia="zh-CN"/>
              </w:rPr>
            </w:pPr>
            <w:r>
              <w:rPr>
                <w:rFonts w:hint="eastAsia" w:ascii="楷体_GB2312" w:hAnsi="楷体_GB2312" w:eastAsia="楷体_GB2312" w:cs="楷体_GB2312"/>
                <w:b/>
                <w:bCs/>
                <w:color w:val="auto"/>
                <w:sz w:val="24"/>
                <w:szCs w:val="24"/>
                <w:lang w:eastAsia="zh-CN"/>
              </w:rPr>
              <w:t>（二）完善“一老一小”服务设施</w:t>
            </w:r>
          </w:p>
        </w:tc>
        <w:tc>
          <w:tcPr>
            <w:tcW w:w="10893"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481"/>
              <w:outlineLvl w:val="9"/>
              <w:rPr>
                <w:rFonts w:hint="eastAsia" w:ascii="仿宋_GB2312" w:hAnsi="仿宋_GB2312" w:eastAsia="仿宋_GB2312" w:cs="仿宋_GB2312"/>
                <w:b w:val="0"/>
                <w:bCs w:val="0"/>
                <w:color w:val="000000"/>
                <w:spacing w:val="0"/>
                <w:kern w:val="0"/>
                <w:sz w:val="24"/>
                <w:szCs w:val="24"/>
                <w:lang w:val="en-US" w:eastAsia="zh-CN"/>
              </w:rPr>
            </w:pPr>
            <w:r>
              <w:rPr>
                <w:rFonts w:hint="eastAsia" w:ascii="仿宋_GB2312" w:hAnsi="仿宋_GB2312" w:eastAsia="仿宋_GB2312" w:cs="仿宋_GB2312"/>
                <w:b w:val="0"/>
                <w:bCs w:val="0"/>
                <w:color w:val="000000"/>
                <w:spacing w:val="0"/>
                <w:kern w:val="0"/>
                <w:sz w:val="24"/>
                <w:szCs w:val="24"/>
                <w:lang w:val="en-US" w:eastAsia="zh-CN"/>
              </w:rPr>
              <w:t>3.深圳市多措并举推动既有住宅加装电梯工作，有效缓解“悬空老人”下楼难等问题。2022年，全市加装电梯207台，较上一年增加了107%。一是明确政府补</w:t>
            </w:r>
            <w:r>
              <w:rPr>
                <w:rFonts w:hint="eastAsia" w:ascii="仿宋_GB2312" w:hAnsi="仿宋_GB2312" w:eastAsia="仿宋_GB2312" w:cs="仿宋_GB2312"/>
                <w:color w:val="000000"/>
                <w:kern w:val="0"/>
                <w:sz w:val="24"/>
                <w:szCs w:val="24"/>
                <w:lang w:val="en-US" w:eastAsia="zh-CN"/>
              </w:rPr>
              <w:t>贴标准</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按照</w:t>
            </w:r>
            <w:r>
              <w:rPr>
                <w:rFonts w:hint="eastAsia" w:ascii="仿宋_GB2312" w:hAnsi="仿宋_GB2312" w:eastAsia="仿宋_GB2312" w:cs="仿宋_GB2312"/>
                <w:color w:val="000000"/>
                <w:kern w:val="0"/>
                <w:sz w:val="24"/>
                <w:szCs w:val="24"/>
                <w:lang w:eastAsia="zh-CN"/>
              </w:rPr>
              <w:t>加梯楼层数的不同，给予</w:t>
            </w:r>
            <w:r>
              <w:rPr>
                <w:rFonts w:hint="eastAsia" w:ascii="仿宋_GB2312" w:hAnsi="仿宋_GB2312" w:eastAsia="仿宋_GB2312" w:cs="仿宋_GB2312"/>
                <w:color w:val="000000"/>
                <w:kern w:val="0"/>
                <w:sz w:val="24"/>
                <w:szCs w:val="24"/>
                <w:lang w:val="en-US" w:eastAsia="zh-CN"/>
              </w:rPr>
              <w:t>最高35万元/台的</w:t>
            </w:r>
            <w:r>
              <w:rPr>
                <w:rFonts w:hint="eastAsia" w:ascii="仿宋_GB2312" w:hAnsi="仿宋_GB2312" w:eastAsia="仿宋_GB2312" w:cs="仿宋_GB2312"/>
                <w:color w:val="000000"/>
                <w:kern w:val="0"/>
                <w:sz w:val="24"/>
                <w:szCs w:val="24"/>
                <w:lang w:eastAsia="zh-CN"/>
              </w:rPr>
              <w:t>政府</w:t>
            </w:r>
            <w:r>
              <w:rPr>
                <w:rFonts w:hint="eastAsia" w:ascii="仿宋_GB2312" w:hAnsi="仿宋_GB2312" w:eastAsia="仿宋_GB2312" w:cs="仿宋_GB2312"/>
                <w:color w:val="000000"/>
                <w:kern w:val="0"/>
                <w:sz w:val="24"/>
                <w:szCs w:val="24"/>
                <w:lang w:val="en-US" w:eastAsia="zh-CN"/>
              </w:rPr>
              <w:t>补贴，2022年下达加梯补贴15864万元，有效降低居民加梯成本近50%。二是</w:t>
            </w:r>
            <w:r>
              <w:rPr>
                <w:rFonts w:hint="eastAsia" w:ascii="仿宋_GB2312" w:hAnsi="仿宋_GB2312" w:eastAsia="仿宋_GB2312" w:cs="仿宋_GB2312"/>
                <w:color w:val="000000"/>
                <w:kern w:val="0"/>
                <w:sz w:val="24"/>
                <w:szCs w:val="24"/>
                <w:lang w:eastAsia="zh-CN"/>
              </w:rPr>
              <w:t>搭建</w:t>
            </w:r>
            <w:r>
              <w:rPr>
                <w:rFonts w:hint="eastAsia" w:ascii="仿宋_GB2312" w:hAnsi="仿宋_GB2312" w:eastAsia="仿宋_GB2312" w:cs="仿宋_GB2312"/>
                <w:color w:val="000000"/>
                <w:kern w:val="0"/>
                <w:sz w:val="24"/>
                <w:szCs w:val="24"/>
              </w:rPr>
              <w:t>“2+3+X”</w:t>
            </w:r>
            <w:r>
              <w:rPr>
                <w:rFonts w:hint="eastAsia" w:ascii="仿宋_GB2312" w:hAnsi="仿宋_GB2312" w:eastAsia="仿宋_GB2312" w:cs="仿宋_GB2312"/>
                <w:color w:val="000000"/>
                <w:kern w:val="0"/>
                <w:sz w:val="24"/>
                <w:szCs w:val="24"/>
                <w:lang w:eastAsia="zh-CN"/>
              </w:rPr>
              <w:t>沟通平台，统一加梯意愿。以</w:t>
            </w:r>
            <w:r>
              <w:rPr>
                <w:rFonts w:hint="eastAsia" w:ascii="仿宋_GB2312" w:hAnsi="仿宋_GB2312" w:eastAsia="仿宋_GB2312" w:cs="仿宋_GB2312"/>
                <w:color w:val="000000"/>
                <w:kern w:val="0"/>
                <w:sz w:val="24"/>
                <w:szCs w:val="24"/>
              </w:rPr>
              <w:t>街道办事处、社区工作站</w:t>
            </w:r>
            <w:r>
              <w:rPr>
                <w:rFonts w:hint="eastAsia" w:ascii="仿宋_GB2312" w:hAnsi="仿宋_GB2312" w:eastAsia="仿宋_GB2312" w:cs="仿宋_GB2312"/>
                <w:color w:val="000000"/>
                <w:kern w:val="0"/>
                <w:sz w:val="24"/>
                <w:szCs w:val="24"/>
                <w:lang w:eastAsia="zh-CN"/>
              </w:rPr>
              <w:t>为核心，统筹</w:t>
            </w:r>
            <w:r>
              <w:rPr>
                <w:rFonts w:hint="eastAsia" w:ascii="仿宋_GB2312" w:hAnsi="仿宋_GB2312" w:eastAsia="仿宋_GB2312" w:cs="仿宋_GB2312"/>
                <w:color w:val="000000"/>
                <w:kern w:val="0"/>
                <w:sz w:val="24"/>
                <w:szCs w:val="24"/>
              </w:rPr>
              <w:t>实施主体、设计、施工企业</w:t>
            </w:r>
            <w:r>
              <w:rPr>
                <w:rFonts w:hint="eastAsia" w:ascii="仿宋_GB2312" w:hAnsi="仿宋_GB2312" w:eastAsia="仿宋_GB2312" w:cs="仿宋_GB2312"/>
                <w:color w:val="000000"/>
                <w:kern w:val="0"/>
                <w:sz w:val="24"/>
                <w:szCs w:val="24"/>
                <w:lang w:eastAsia="zh-CN"/>
              </w:rPr>
              <w:t>三方主体，联系</w:t>
            </w:r>
            <w:r>
              <w:rPr>
                <w:rFonts w:hint="eastAsia" w:ascii="仿宋_GB2312" w:hAnsi="仿宋_GB2312" w:eastAsia="仿宋_GB2312" w:cs="仿宋_GB2312"/>
                <w:color w:val="000000"/>
                <w:kern w:val="0"/>
                <w:sz w:val="24"/>
                <w:szCs w:val="24"/>
              </w:rPr>
              <w:t>人大代表、政协委员、党员代表、志愿者</w:t>
            </w:r>
            <w:r>
              <w:rPr>
                <w:rFonts w:hint="eastAsia" w:ascii="仿宋_GB2312" w:hAnsi="仿宋_GB2312" w:eastAsia="仿宋_GB2312" w:cs="仿宋_GB2312"/>
                <w:color w:val="000000"/>
                <w:kern w:val="0"/>
                <w:sz w:val="24"/>
                <w:szCs w:val="24"/>
                <w:lang w:eastAsia="zh-CN"/>
              </w:rPr>
              <w:t>等多方人士</w:t>
            </w:r>
            <w:r>
              <w:rPr>
                <w:rFonts w:hint="eastAsia" w:ascii="仿宋_GB2312" w:hAnsi="仿宋_GB2312" w:eastAsia="仿宋_GB2312" w:cs="仿宋_GB2312"/>
                <w:color w:val="000000"/>
                <w:kern w:val="0"/>
                <w:sz w:val="24"/>
                <w:szCs w:val="24"/>
                <w:lang w:val="en-US" w:eastAsia="zh-CN"/>
              </w:rPr>
              <w:t>参与</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搭建议事协商调解平台，有效解决业主意愿难统一的问题。</w:t>
            </w:r>
            <w:r>
              <w:rPr>
                <w:rFonts w:hint="eastAsia" w:ascii="仿宋_GB2312" w:hAnsi="仿宋_GB2312" w:eastAsia="仿宋_GB2312" w:cs="仿宋_GB2312"/>
                <w:color w:val="000000"/>
                <w:kern w:val="0"/>
                <w:sz w:val="24"/>
                <w:szCs w:val="24"/>
                <w:lang w:eastAsia="zh-CN"/>
              </w:rPr>
              <w:t>三是</w:t>
            </w:r>
            <w:r>
              <w:rPr>
                <w:rFonts w:hint="eastAsia" w:ascii="仿宋_GB2312" w:hAnsi="仿宋_GB2312" w:eastAsia="仿宋_GB2312" w:cs="仿宋_GB2312"/>
                <w:color w:val="000000"/>
                <w:kern w:val="0"/>
                <w:sz w:val="24"/>
                <w:szCs w:val="24"/>
              </w:rPr>
              <w:t>引入</w:t>
            </w:r>
            <w:r>
              <w:rPr>
                <w:rFonts w:hint="eastAsia" w:ascii="仿宋_GB2312" w:hAnsi="仿宋_GB2312" w:eastAsia="仿宋_GB2312" w:cs="仿宋_GB2312"/>
                <w:color w:val="000000"/>
                <w:kern w:val="0"/>
                <w:sz w:val="24"/>
                <w:szCs w:val="24"/>
                <w:lang w:val="en-US" w:eastAsia="zh-CN"/>
              </w:rPr>
              <w:t>第三方</w:t>
            </w:r>
            <w:r>
              <w:rPr>
                <w:rFonts w:hint="eastAsia" w:ascii="仿宋_GB2312" w:hAnsi="仿宋_GB2312" w:eastAsia="仿宋_GB2312" w:cs="仿宋_GB2312"/>
                <w:color w:val="000000"/>
                <w:kern w:val="0"/>
                <w:sz w:val="24"/>
                <w:szCs w:val="24"/>
              </w:rPr>
              <w:t>机构</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提供</w:t>
            </w:r>
            <w:r>
              <w:rPr>
                <w:rFonts w:hint="eastAsia" w:ascii="仿宋_GB2312" w:hAnsi="仿宋_GB2312" w:eastAsia="仿宋_GB2312" w:cs="仿宋_GB2312"/>
                <w:color w:val="000000"/>
                <w:kern w:val="0"/>
                <w:sz w:val="24"/>
                <w:szCs w:val="24"/>
              </w:rPr>
              <w:t>“一站式”服务。</w:t>
            </w:r>
            <w:r>
              <w:rPr>
                <w:rFonts w:hint="eastAsia" w:ascii="仿宋_GB2312" w:hAnsi="仿宋_GB2312" w:eastAsia="仿宋_GB2312" w:cs="仿宋_GB2312"/>
                <w:color w:val="000000"/>
                <w:kern w:val="0"/>
                <w:sz w:val="24"/>
                <w:szCs w:val="24"/>
                <w:lang w:val="en-US" w:eastAsia="zh-CN"/>
              </w:rPr>
              <w:t>设立</w:t>
            </w:r>
            <w:r>
              <w:rPr>
                <w:rFonts w:hint="eastAsia" w:ascii="仿宋_GB2312" w:hAnsi="仿宋_GB2312" w:eastAsia="仿宋_GB2312" w:cs="仿宋_GB2312"/>
                <w:color w:val="000000"/>
                <w:kern w:val="0"/>
                <w:sz w:val="24"/>
                <w:szCs w:val="24"/>
                <w:lang w:eastAsia="zh-CN"/>
              </w:rPr>
              <w:t>加装电梯</w:t>
            </w:r>
            <w:r>
              <w:rPr>
                <w:rFonts w:hint="eastAsia" w:ascii="仿宋_GB2312" w:hAnsi="仿宋_GB2312" w:eastAsia="仿宋_GB2312" w:cs="仿宋_GB2312"/>
                <w:color w:val="000000"/>
                <w:kern w:val="0"/>
                <w:sz w:val="24"/>
                <w:szCs w:val="24"/>
                <w:lang w:val="en-US" w:eastAsia="zh-CN"/>
              </w:rPr>
              <w:t>服务机构库</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由设计单位等机构提供</w:t>
            </w:r>
            <w:r>
              <w:rPr>
                <w:rFonts w:hint="eastAsia" w:ascii="仿宋_GB2312" w:hAnsi="仿宋_GB2312" w:eastAsia="仿宋_GB2312" w:cs="仿宋_GB2312"/>
                <w:color w:val="000000"/>
                <w:kern w:val="0"/>
                <w:sz w:val="24"/>
                <w:szCs w:val="24"/>
                <w:lang w:val="en-US" w:eastAsia="zh-CN"/>
              </w:rPr>
              <w:t>方案设计、</w:t>
            </w:r>
            <w:r>
              <w:rPr>
                <w:rFonts w:hint="eastAsia" w:ascii="仿宋_GB2312" w:hAnsi="仿宋_GB2312" w:eastAsia="仿宋_GB2312" w:cs="仿宋_GB2312"/>
                <w:color w:val="000000"/>
                <w:kern w:val="0"/>
                <w:sz w:val="24"/>
                <w:szCs w:val="24"/>
              </w:rPr>
              <w:t>代办审批、安装施工、运营维护</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申领补贴</w:t>
            </w:r>
            <w:r>
              <w:rPr>
                <w:rFonts w:hint="eastAsia" w:ascii="仿宋_GB2312" w:hAnsi="仿宋_GB2312" w:eastAsia="仿宋_GB2312" w:cs="仿宋_GB2312"/>
                <w:color w:val="000000"/>
                <w:kern w:val="0"/>
                <w:sz w:val="24"/>
                <w:szCs w:val="24"/>
              </w:rPr>
              <w:t>等</w:t>
            </w:r>
            <w:r>
              <w:rPr>
                <w:rFonts w:hint="eastAsia" w:ascii="仿宋_GB2312" w:hAnsi="仿宋_GB2312" w:eastAsia="仿宋_GB2312" w:cs="仿宋_GB2312"/>
                <w:color w:val="000000"/>
                <w:kern w:val="0"/>
                <w:sz w:val="24"/>
                <w:szCs w:val="24"/>
                <w:lang w:val="en-US" w:eastAsia="zh-CN"/>
              </w:rPr>
              <w:t>全流程</w:t>
            </w:r>
            <w:r>
              <w:rPr>
                <w:rFonts w:hint="eastAsia" w:ascii="仿宋_GB2312" w:hAnsi="仿宋_GB2312" w:eastAsia="仿宋_GB2312" w:cs="仿宋_GB2312"/>
                <w:color w:val="000000"/>
                <w:kern w:val="0"/>
                <w:sz w:val="24"/>
                <w:szCs w:val="24"/>
              </w:rPr>
              <w:t>服务，</w:t>
            </w:r>
            <w:r>
              <w:rPr>
                <w:rFonts w:hint="eastAsia" w:ascii="仿宋_GB2312" w:hAnsi="仿宋_GB2312" w:eastAsia="仿宋_GB2312" w:cs="仿宋_GB2312"/>
                <w:color w:val="000000"/>
                <w:kern w:val="0"/>
                <w:sz w:val="24"/>
                <w:szCs w:val="24"/>
                <w:lang w:val="en-US" w:eastAsia="zh-CN"/>
              </w:rPr>
              <w:t>让</w:t>
            </w:r>
            <w:r>
              <w:rPr>
                <w:rFonts w:hint="eastAsia" w:ascii="仿宋_GB2312" w:hAnsi="仿宋_GB2312" w:eastAsia="仿宋_GB2312" w:cs="仿宋_GB2312"/>
                <w:color w:val="000000"/>
                <w:kern w:val="0"/>
                <w:sz w:val="24"/>
                <w:szCs w:val="24"/>
              </w:rPr>
              <w:t>居民办事“</w:t>
            </w:r>
            <w:r>
              <w:rPr>
                <w:rFonts w:hint="eastAsia" w:ascii="仿宋_GB2312" w:hAnsi="仿宋_GB2312" w:eastAsia="仿宋_GB2312" w:cs="仿宋_GB2312"/>
                <w:color w:val="000000"/>
                <w:kern w:val="0"/>
                <w:sz w:val="24"/>
                <w:szCs w:val="24"/>
                <w:lang w:val="en-US" w:eastAsia="zh-CN"/>
              </w:rPr>
              <w:t>少跑腿</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甚至“不跑腿”</w:t>
            </w: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atLeast"/>
          <w:jc w:val="center"/>
        </w:trPr>
        <w:tc>
          <w:tcPr>
            <w:tcW w:w="455" w:type="dxa"/>
            <w:vMerge w:val="continue"/>
            <w:tcBorders>
              <w:bottom w:val="single" w:color="auto" w:sz="4" w:space="0"/>
            </w:tcBorders>
            <w:noWrap w:val="0"/>
            <w:vAlign w:val="center"/>
          </w:tcPr>
          <w:p>
            <w:pPr>
              <w:rPr>
                <w:rFonts w:hint="eastAsia"/>
              </w:rPr>
            </w:pPr>
          </w:p>
        </w:tc>
        <w:tc>
          <w:tcPr>
            <w:tcW w:w="964" w:type="dxa"/>
            <w:vMerge w:val="continue"/>
            <w:tcBorders>
              <w:bottom w:val="single" w:color="auto" w:sz="4" w:space="0"/>
            </w:tcBorders>
            <w:noWrap w:val="0"/>
            <w:vAlign w:val="top"/>
          </w:tcPr>
          <w:p>
            <w:pPr>
              <w:spacing w:line="320" w:lineRule="exact"/>
              <w:jc w:val="left"/>
              <w:rPr>
                <w:rFonts w:hint="eastAsia" w:ascii="楷体_GB2312" w:hAnsi="楷体_GB2312" w:eastAsia="楷体_GB2312" w:cs="楷体_GB2312"/>
                <w:b/>
                <w:bCs/>
                <w:sz w:val="24"/>
                <w:szCs w:val="24"/>
              </w:rPr>
            </w:pPr>
          </w:p>
        </w:tc>
        <w:tc>
          <w:tcPr>
            <w:tcW w:w="1366" w:type="dxa"/>
            <w:tcBorders>
              <w:left w:val="single" w:color="000000" w:sz="4" w:space="0"/>
              <w:bottom w:val="single" w:color="auto" w:sz="4" w:space="0"/>
            </w:tcBorders>
            <w:noWrap w:val="0"/>
            <w:vAlign w:val="center"/>
          </w:tcPr>
          <w:p>
            <w:pPr>
              <w:pStyle w:val="8"/>
              <w:spacing w:line="320" w:lineRule="exact"/>
              <w:ind w:left="0" w:leftChars="0" w:firstLine="0" w:firstLineChars="0"/>
              <w:rPr>
                <w:rFonts w:hint="eastAsia" w:ascii="楷体_GB2312" w:hAnsi="楷体_GB2312" w:eastAsia="楷体_GB2312" w:cs="楷体_GB2312"/>
                <w:b/>
                <w:bCs/>
                <w:sz w:val="24"/>
                <w:szCs w:val="24"/>
                <w:highlight w:val="none"/>
              </w:rPr>
            </w:pPr>
            <w:r>
              <w:rPr>
                <w:rFonts w:hint="eastAsia" w:ascii="楷体_GB2312" w:hAnsi="楷体_GB2312" w:eastAsia="楷体_GB2312" w:cs="楷体_GB2312"/>
                <w:b/>
                <w:bCs/>
                <w:color w:val="auto"/>
                <w:sz w:val="24"/>
                <w:szCs w:val="24"/>
                <w:lang w:eastAsia="zh-CN"/>
              </w:rPr>
              <w:t>（三）推进连片联动改造</w:t>
            </w:r>
          </w:p>
        </w:tc>
        <w:tc>
          <w:tcPr>
            <w:tcW w:w="10893"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lang w:eastAsia="zh-CN"/>
              </w:rPr>
              <w:t>重庆市永川区</w:t>
            </w:r>
            <w:r>
              <w:rPr>
                <w:rFonts w:hint="eastAsia" w:ascii="仿宋_GB2312" w:hAnsi="仿宋_GB2312" w:eastAsia="仿宋_GB2312" w:cs="仿宋_GB2312"/>
                <w:color w:val="000000"/>
                <w:kern w:val="0"/>
                <w:sz w:val="24"/>
                <w:szCs w:val="24"/>
                <w:lang w:val="en-US" w:eastAsia="zh-CN"/>
              </w:rPr>
              <w:t>秉承“设计引领、串点成线、连线成片、整体提升”理念，</w:t>
            </w:r>
            <w:r>
              <w:rPr>
                <w:rFonts w:hint="eastAsia" w:ascii="仿宋_GB2312" w:hAnsi="仿宋_GB2312" w:eastAsia="仿宋_GB2312" w:cs="仿宋_GB2312"/>
                <w:color w:val="000000"/>
                <w:kern w:val="0"/>
                <w:sz w:val="24"/>
                <w:szCs w:val="24"/>
                <w:lang w:eastAsia="zh-CN"/>
              </w:rPr>
              <w:t>将</w:t>
            </w:r>
            <w:r>
              <w:rPr>
                <w:rFonts w:hint="eastAsia" w:ascii="仿宋_GB2312" w:hAnsi="仿宋_GB2312" w:eastAsia="仿宋_GB2312" w:cs="仿宋_GB2312"/>
                <w:color w:val="000000"/>
                <w:kern w:val="0"/>
                <w:sz w:val="24"/>
                <w:szCs w:val="24"/>
              </w:rPr>
              <w:t>零散小区</w:t>
            </w:r>
            <w:r>
              <w:rPr>
                <w:rFonts w:hint="eastAsia" w:ascii="仿宋_GB2312" w:hAnsi="仿宋_GB2312" w:eastAsia="仿宋_GB2312" w:cs="仿宋_GB2312"/>
                <w:color w:val="000000"/>
                <w:kern w:val="0"/>
                <w:sz w:val="24"/>
                <w:szCs w:val="24"/>
                <w:lang w:eastAsia="zh-CN"/>
              </w:rPr>
              <w:t>整合成</w:t>
            </w:r>
            <w:r>
              <w:rPr>
                <w:rFonts w:hint="eastAsia" w:ascii="仿宋_GB2312" w:hAnsi="仿宋_GB2312" w:eastAsia="仿宋_GB2312" w:cs="仿宋_GB2312"/>
                <w:color w:val="000000"/>
                <w:kern w:val="0"/>
                <w:sz w:val="24"/>
                <w:szCs w:val="24"/>
              </w:rPr>
              <w:t>片区</w:t>
            </w:r>
            <w:r>
              <w:rPr>
                <w:rFonts w:hint="eastAsia" w:ascii="仿宋_GB2312" w:hAnsi="仿宋_GB2312" w:eastAsia="仿宋_GB2312" w:cs="仿宋_GB2312"/>
                <w:color w:val="000000"/>
                <w:kern w:val="0"/>
                <w:sz w:val="24"/>
                <w:szCs w:val="24"/>
                <w:lang w:eastAsia="zh-CN"/>
              </w:rPr>
              <w:t>统筹推进改造</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推动社区公共服务设施共建共享，着力解决“一老一小”、电梯、停车、医疗卫生、便民商贸等服务供给不足问题，引入社区商业业态，构建“10分钟生活圈”。</w:t>
            </w:r>
          </w:p>
          <w:p>
            <w:pPr>
              <w:keepNext w:val="0"/>
              <w:keepLines w:val="0"/>
              <w:pageBreakBefore w:val="0"/>
              <w:kinsoku/>
              <w:wordWrap/>
              <w:overflowPunct/>
              <w:topLinePunct w:val="0"/>
              <w:autoSpaceDE/>
              <w:autoSpaceDN/>
              <w:bidi w:val="0"/>
              <w:adjustRightInd/>
              <w:snapToGrid/>
              <w:spacing w:line="320" w:lineRule="exact"/>
              <w:ind w:firstLine="480" w:firstLineChars="200"/>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新疆维吾尔自治区乌鲁木齐市开展独栋院落连片改造，打通围墙隔断，实现资源整合，优化交通微循环和居住空间布局。例如：天山区前进街光华路片区共13栋多层住宅，原属于12个封闭院落，改造中打通12个院落的围墙，整合成一个片区，将腾挪出的空间用于建设停车位、绿地、儿童游乐区、健身设施等，满足居民生活需求。</w:t>
            </w:r>
          </w:p>
          <w:p>
            <w:pPr>
              <w:keepNext w:val="0"/>
              <w:keepLines w:val="0"/>
              <w:pageBreakBefore w:val="0"/>
              <w:kinsoku/>
              <w:wordWrap/>
              <w:overflowPunct/>
              <w:topLinePunct w:val="0"/>
              <w:autoSpaceDE/>
              <w:autoSpaceDN/>
              <w:bidi w:val="0"/>
              <w:adjustRightInd/>
              <w:snapToGrid/>
              <w:spacing w:line="320" w:lineRule="exact"/>
              <w:ind w:firstLine="480" w:firstLineChars="200"/>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rPr>
              <w:t>3.安徽省滁州市来安县回收公司片区改造项目改造增设卫生服务站等公共卫生设施3个，综合超市、便民市场、便利店、幼儿园、托育点、老年食堂各1个，改造后该片区形成集医、食、行、文、娱为一体的“5分钟居家服务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55" w:type="dxa"/>
            <w:tcBorders>
              <w:bottom w:val="single" w:color="auto" w:sz="4" w:space="0"/>
            </w:tcBorders>
            <w:noWrap w:val="0"/>
            <w:vAlign w:val="center"/>
          </w:tcPr>
          <w:p>
            <w:pPr>
              <w:rPr>
                <w:rFonts w:hint="eastAsia"/>
              </w:rPr>
            </w:pPr>
          </w:p>
        </w:tc>
        <w:tc>
          <w:tcPr>
            <w:tcW w:w="964" w:type="dxa"/>
            <w:tcBorders>
              <w:bottom w:val="single" w:color="auto" w:sz="4" w:space="0"/>
            </w:tcBorders>
            <w:noWrap w:val="0"/>
            <w:vAlign w:val="top"/>
          </w:tcPr>
          <w:p>
            <w:pPr>
              <w:spacing w:line="320" w:lineRule="exact"/>
              <w:jc w:val="left"/>
              <w:rPr>
                <w:rFonts w:hint="eastAsia" w:ascii="楷体_GB2312" w:hAnsi="楷体_GB2312" w:eastAsia="楷体_GB2312" w:cs="楷体_GB2312"/>
                <w:b/>
                <w:bCs/>
                <w:sz w:val="24"/>
                <w:szCs w:val="24"/>
              </w:rPr>
            </w:pPr>
          </w:p>
        </w:tc>
        <w:tc>
          <w:tcPr>
            <w:tcW w:w="1366" w:type="dxa"/>
            <w:tcBorders>
              <w:left w:val="single" w:color="000000" w:sz="4" w:space="0"/>
              <w:bottom w:val="single" w:color="auto" w:sz="4" w:space="0"/>
            </w:tcBorders>
            <w:noWrap w:val="0"/>
            <w:vAlign w:val="center"/>
          </w:tcPr>
          <w:p>
            <w:pPr>
              <w:pStyle w:val="8"/>
              <w:spacing w:line="320" w:lineRule="exact"/>
              <w:ind w:left="0" w:leftChars="0" w:firstLine="0" w:firstLineChars="0"/>
              <w:rPr>
                <w:rFonts w:hint="eastAsia" w:ascii="楷体_GB2312" w:hAnsi="楷体_GB2312" w:eastAsia="楷体_GB2312" w:cs="楷体_GB2312"/>
                <w:b/>
                <w:bCs/>
                <w:color w:val="auto"/>
                <w:sz w:val="24"/>
                <w:szCs w:val="24"/>
                <w:lang w:eastAsia="zh-CN"/>
              </w:rPr>
            </w:pPr>
            <w:r>
              <w:rPr>
                <w:rFonts w:hint="eastAsia" w:ascii="楷体_GB2312" w:hAnsi="楷体_GB2312" w:eastAsia="楷体_GB2312" w:cs="楷体_GB2312"/>
                <w:b/>
                <w:bCs/>
                <w:sz w:val="24"/>
                <w:szCs w:val="24"/>
                <w:highlight w:val="none"/>
              </w:rPr>
              <w:t>（一）统筹专项改造“综合改一次”</w:t>
            </w:r>
          </w:p>
        </w:tc>
        <w:tc>
          <w:tcPr>
            <w:tcW w:w="10893"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481" w:firstLineChars="0"/>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lang w:eastAsia="zh-CN"/>
              </w:rPr>
              <w:t>重庆市永川区</w:t>
            </w:r>
            <w:r>
              <w:rPr>
                <w:rFonts w:hint="eastAsia" w:ascii="仿宋_GB2312" w:hAnsi="仿宋_GB2312" w:eastAsia="仿宋_GB2312" w:cs="仿宋_GB2312"/>
                <w:color w:val="000000"/>
                <w:kern w:val="0"/>
                <w:sz w:val="24"/>
                <w:szCs w:val="24"/>
              </w:rPr>
              <w:t>各部门</w:t>
            </w:r>
            <w:r>
              <w:rPr>
                <w:rFonts w:hint="eastAsia" w:ascii="仿宋_GB2312" w:hAnsi="仿宋_GB2312" w:eastAsia="仿宋_GB2312" w:cs="仿宋_GB2312"/>
                <w:color w:val="000000"/>
                <w:kern w:val="0"/>
                <w:sz w:val="24"/>
                <w:szCs w:val="24"/>
                <w:lang w:eastAsia="zh-CN"/>
              </w:rPr>
              <w:t>、单位</w:t>
            </w:r>
            <w:r>
              <w:rPr>
                <w:rFonts w:hint="eastAsia" w:ascii="仿宋_GB2312" w:hAnsi="仿宋_GB2312" w:eastAsia="仿宋_GB2312" w:cs="仿宋_GB2312"/>
                <w:color w:val="000000"/>
                <w:kern w:val="0"/>
                <w:sz w:val="24"/>
                <w:szCs w:val="24"/>
              </w:rPr>
              <w:t>共享老旧小区改造项目储备库、年度实施计划与专项工程项目信息，</w:t>
            </w:r>
            <w:r>
              <w:rPr>
                <w:rFonts w:hint="eastAsia" w:ascii="仿宋_GB2312" w:hAnsi="仿宋_GB2312" w:eastAsia="仿宋_GB2312" w:cs="仿宋_GB2312"/>
                <w:color w:val="000000"/>
                <w:kern w:val="0"/>
                <w:sz w:val="24"/>
                <w:szCs w:val="24"/>
                <w:lang w:eastAsia="zh-CN"/>
              </w:rPr>
              <w:t>联合排查</w:t>
            </w:r>
            <w:r>
              <w:rPr>
                <w:rFonts w:hint="eastAsia" w:ascii="仿宋_GB2312" w:hAnsi="仿宋_GB2312" w:eastAsia="仿宋_GB2312" w:cs="仿宋_GB2312"/>
                <w:bCs w:val="0"/>
                <w:color w:val="000000"/>
                <w:kern w:val="0"/>
                <w:sz w:val="24"/>
                <w:szCs w:val="24"/>
              </w:rPr>
              <w:t>确定</w:t>
            </w:r>
            <w:r>
              <w:rPr>
                <w:rFonts w:hint="eastAsia" w:ascii="仿宋_GB2312" w:hAnsi="仿宋_GB2312" w:eastAsia="仿宋_GB2312" w:cs="仿宋_GB2312"/>
                <w:bCs w:val="0"/>
                <w:color w:val="000000"/>
                <w:kern w:val="0"/>
                <w:sz w:val="24"/>
                <w:szCs w:val="24"/>
                <w:lang w:eastAsia="zh-CN"/>
              </w:rPr>
              <w:t>与城镇老旧小区改造项目</w:t>
            </w:r>
            <w:r>
              <w:rPr>
                <w:rFonts w:hint="eastAsia" w:ascii="仿宋_GB2312" w:hAnsi="仿宋_GB2312" w:eastAsia="仿宋_GB2312" w:cs="仿宋_GB2312"/>
                <w:bCs w:val="0"/>
                <w:color w:val="000000"/>
                <w:kern w:val="0"/>
                <w:sz w:val="24"/>
                <w:szCs w:val="24"/>
              </w:rPr>
              <w:t>同步实施的管线改造和设施增补工程，</w:t>
            </w:r>
            <w:r>
              <w:rPr>
                <w:rFonts w:hint="eastAsia" w:ascii="仿宋_GB2312" w:hAnsi="仿宋_GB2312" w:eastAsia="仿宋_GB2312" w:cs="仿宋_GB2312"/>
                <w:b w:val="0"/>
                <w:bCs w:val="0"/>
                <w:color w:val="000000"/>
                <w:kern w:val="0"/>
                <w:sz w:val="24"/>
                <w:szCs w:val="24"/>
                <w:lang w:eastAsia="zh-CN"/>
              </w:rPr>
              <w:t>做到</w:t>
            </w:r>
            <w:r>
              <w:rPr>
                <w:rFonts w:hint="eastAsia" w:ascii="仿宋_GB2312" w:hAnsi="仿宋_GB2312" w:eastAsia="仿宋_GB2312" w:cs="仿宋_GB2312"/>
                <w:b w:val="0"/>
                <w:bCs w:val="0"/>
                <w:color w:val="000000"/>
                <w:kern w:val="0"/>
                <w:sz w:val="24"/>
                <w:szCs w:val="24"/>
              </w:rPr>
              <w:t>规划设计</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资金使用</w:t>
            </w:r>
            <w:r>
              <w:rPr>
                <w:rFonts w:hint="eastAsia" w:ascii="仿宋_GB2312" w:hAnsi="仿宋_GB2312" w:eastAsia="仿宋_GB2312" w:cs="仿宋_GB2312"/>
                <w:b w:val="0"/>
                <w:bCs w:val="0"/>
                <w:color w:val="000000"/>
                <w:kern w:val="0"/>
                <w:sz w:val="24"/>
                <w:szCs w:val="24"/>
                <w:lang w:eastAsia="zh-CN"/>
              </w:rPr>
              <w:t>、项目实施</w:t>
            </w:r>
            <w:r>
              <w:rPr>
                <w:rFonts w:hint="eastAsia" w:ascii="仿宋_GB2312" w:hAnsi="仿宋_GB2312" w:eastAsia="仿宋_GB2312" w:cs="仿宋_GB2312"/>
                <w:b w:val="0"/>
                <w:bCs w:val="0"/>
                <w:color w:val="000000"/>
                <w:kern w:val="0"/>
                <w:sz w:val="24"/>
                <w:szCs w:val="24"/>
              </w:rPr>
              <w:t>“</w:t>
            </w:r>
            <w:r>
              <w:rPr>
                <w:rFonts w:hint="eastAsia" w:ascii="仿宋_GB2312" w:hAnsi="仿宋_GB2312" w:eastAsia="仿宋_GB2312" w:cs="仿宋_GB2312"/>
                <w:b w:val="0"/>
                <w:bCs w:val="0"/>
                <w:color w:val="000000"/>
                <w:kern w:val="0"/>
                <w:sz w:val="24"/>
                <w:szCs w:val="24"/>
                <w:lang w:eastAsia="zh-CN"/>
              </w:rPr>
              <w:t>全流程</w:t>
            </w:r>
            <w:r>
              <w:rPr>
                <w:rFonts w:hint="eastAsia" w:ascii="仿宋_GB2312" w:hAnsi="仿宋_GB2312" w:eastAsia="仿宋_GB2312" w:cs="仿宋_GB2312"/>
                <w:b w:val="0"/>
                <w:bCs w:val="0"/>
                <w:color w:val="000000"/>
                <w:kern w:val="0"/>
                <w:sz w:val="24"/>
                <w:szCs w:val="24"/>
              </w:rPr>
              <w:t>统筹”</w:t>
            </w:r>
            <w:r>
              <w:rPr>
                <w:rFonts w:hint="eastAsia" w:ascii="仿宋_GB2312" w:hAnsi="仿宋_GB2312" w:eastAsia="仿宋_GB2312" w:cs="仿宋_GB2312"/>
                <w:b w:val="0"/>
                <w:bCs w:val="0"/>
                <w:color w:val="000000"/>
                <w:kern w:val="0"/>
                <w:sz w:val="24"/>
                <w:szCs w:val="24"/>
                <w:lang w:eastAsia="zh-CN"/>
              </w:rPr>
              <w:t>，形成</w:t>
            </w:r>
            <w:r>
              <w:rPr>
                <w:rFonts w:hint="eastAsia" w:ascii="仿宋_GB2312" w:hAnsi="仿宋_GB2312" w:eastAsia="仿宋_GB2312" w:cs="仿宋_GB2312"/>
                <w:color w:val="000000"/>
                <w:kern w:val="0"/>
                <w:sz w:val="24"/>
                <w:szCs w:val="24"/>
              </w:rPr>
              <w:t>政策资金合力。</w:t>
            </w:r>
            <w:r>
              <w:rPr>
                <w:rFonts w:hint="eastAsia" w:ascii="仿宋_GB2312" w:hAnsi="仿宋_GB2312" w:eastAsia="仿宋_GB2312" w:cs="仿宋_GB2312"/>
                <w:color w:val="000000"/>
                <w:kern w:val="0"/>
                <w:sz w:val="24"/>
                <w:szCs w:val="24"/>
                <w:lang w:eastAsia="zh-CN"/>
              </w:rPr>
              <w:t>例如：</w:t>
            </w:r>
            <w:r>
              <w:rPr>
                <w:rFonts w:hint="eastAsia" w:ascii="仿宋_GB2312" w:hAnsi="仿宋_GB2312" w:eastAsia="仿宋_GB2312" w:cs="仿宋_GB2312"/>
                <w:color w:val="000000"/>
                <w:kern w:val="0"/>
                <w:sz w:val="24"/>
                <w:szCs w:val="24"/>
              </w:rPr>
              <w:t>三河汇碧片区老旧小区改造项目</w:t>
            </w:r>
            <w:r>
              <w:rPr>
                <w:rFonts w:hint="eastAsia" w:ascii="仿宋_GB2312" w:hAnsi="仿宋_GB2312" w:eastAsia="仿宋_GB2312" w:cs="仿宋_GB2312"/>
                <w:color w:val="000000"/>
                <w:kern w:val="0"/>
                <w:sz w:val="24"/>
                <w:szCs w:val="24"/>
                <w:lang w:eastAsia="zh-CN"/>
              </w:rPr>
              <w:t>统筹住房和城乡建设、</w:t>
            </w:r>
            <w:r>
              <w:rPr>
                <w:rFonts w:hint="eastAsia" w:ascii="仿宋_GB2312" w:hAnsi="仿宋_GB2312" w:eastAsia="仿宋_GB2312" w:cs="仿宋_GB2312"/>
                <w:color w:val="000000"/>
                <w:kern w:val="0"/>
                <w:sz w:val="24"/>
                <w:szCs w:val="24"/>
              </w:rPr>
              <w:t>经济信息、城市管理、水利、生态环境</w:t>
            </w:r>
            <w:r>
              <w:rPr>
                <w:rFonts w:hint="eastAsia" w:ascii="仿宋_GB2312" w:hAnsi="仿宋_GB2312" w:eastAsia="仿宋_GB2312" w:cs="仿宋_GB2312"/>
                <w:color w:val="000000"/>
                <w:kern w:val="0"/>
                <w:sz w:val="24"/>
                <w:szCs w:val="24"/>
                <w:lang w:eastAsia="zh-CN"/>
              </w:rPr>
              <w:t>、专营单位</w:t>
            </w:r>
            <w:r>
              <w:rPr>
                <w:rFonts w:hint="eastAsia" w:ascii="仿宋_GB2312" w:hAnsi="仿宋_GB2312" w:eastAsia="仿宋_GB2312" w:cs="仿宋_GB2312"/>
                <w:color w:val="000000"/>
                <w:kern w:val="0"/>
                <w:sz w:val="24"/>
                <w:szCs w:val="24"/>
              </w:rPr>
              <w:t>等部门单位计划、资金</w:t>
            </w:r>
            <w:r>
              <w:rPr>
                <w:rFonts w:hint="eastAsia" w:ascii="仿宋_GB2312" w:hAnsi="仿宋_GB2312" w:eastAsia="仿宋_GB2312" w:cs="仿宋_GB2312"/>
                <w:color w:val="000000"/>
                <w:kern w:val="0"/>
                <w:sz w:val="24"/>
                <w:szCs w:val="24"/>
                <w:lang w:eastAsia="zh-CN"/>
              </w:rPr>
              <w:t>，将</w:t>
            </w:r>
            <w:r>
              <w:rPr>
                <w:rFonts w:hint="eastAsia" w:ascii="仿宋_GB2312" w:hAnsi="仿宋_GB2312" w:eastAsia="仿宋_GB2312" w:cs="仿宋_GB2312"/>
                <w:color w:val="000000"/>
                <w:kern w:val="0"/>
                <w:sz w:val="24"/>
                <w:szCs w:val="24"/>
              </w:rPr>
              <w:t>棚户区改造、水环境治理、管网升级改造等与城镇老旧小区改造同步实施，形成1+1&gt;2的效果</w:t>
            </w:r>
            <w:r>
              <w:rPr>
                <w:rFonts w:hint="eastAsia" w:ascii="仿宋_GB2312" w:hAnsi="仿宋_GB2312" w:eastAsia="仿宋_GB2312" w:cs="仿宋_GB2312"/>
                <w:color w:val="000000"/>
                <w:kern w:val="0"/>
                <w:sz w:val="24"/>
                <w:szCs w:val="24"/>
                <w:lang w:eastAsia="zh-CN"/>
              </w:rPr>
              <w:t>，改造后</w:t>
            </w:r>
            <w:r>
              <w:rPr>
                <w:rFonts w:hint="eastAsia" w:ascii="仿宋_GB2312" w:hAnsi="仿宋_GB2312" w:eastAsia="仿宋_GB2312" w:cs="仿宋_GB2312"/>
                <w:color w:val="000000"/>
                <w:kern w:val="0"/>
                <w:sz w:val="24"/>
                <w:szCs w:val="24"/>
              </w:rPr>
              <w:t>三河汇碧片区成为了碧波荡漾、岸绿景美、休闲娱乐的热门网红打卡地。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4" w:hRule="atLeast"/>
          <w:jc w:val="center"/>
        </w:trPr>
        <w:tc>
          <w:tcPr>
            <w:tcW w:w="455" w:type="dxa"/>
            <w:vMerge w:val="restart"/>
            <w:tcBorders>
              <w:top w:val="single" w:color="auto" w:sz="4" w:space="0"/>
              <w:left w:val="single" w:color="000000" w:sz="4" w:space="0"/>
            </w:tcBorders>
            <w:noWrap w:val="0"/>
            <w:vAlign w:val="center"/>
          </w:tcPr>
          <w:p>
            <w:pPr>
              <w:spacing w:line="320" w:lineRule="exact"/>
              <w:jc w:val="center"/>
              <w:rPr>
                <w:rFonts w:hint="eastAsia" w:ascii="黑体" w:hAnsi="黑体" w:eastAsia="黑体" w:cs="黑体"/>
                <w:sz w:val="24"/>
                <w:szCs w:val="32"/>
              </w:rPr>
            </w:pPr>
          </w:p>
          <w:p>
            <w:pPr>
              <w:spacing w:line="320" w:lineRule="exact"/>
              <w:jc w:val="center"/>
              <w:rPr>
                <w:rFonts w:hint="eastAsia" w:ascii="黑体" w:hAnsi="黑体" w:eastAsia="黑体" w:cs="黑体"/>
                <w:sz w:val="24"/>
                <w:szCs w:val="32"/>
              </w:rPr>
            </w:pPr>
          </w:p>
          <w:p>
            <w:pPr>
              <w:spacing w:line="320" w:lineRule="exact"/>
              <w:jc w:val="center"/>
              <w:rPr>
                <w:rFonts w:hint="eastAsia" w:ascii="黑体" w:hAnsi="黑体" w:eastAsia="黑体" w:cs="黑体"/>
                <w:sz w:val="24"/>
                <w:szCs w:val="32"/>
              </w:rPr>
            </w:pPr>
          </w:p>
          <w:p>
            <w:pPr>
              <w:spacing w:line="320" w:lineRule="exact"/>
              <w:jc w:val="center"/>
              <w:rPr>
                <w:rFonts w:hint="eastAsia" w:ascii="黑体" w:hAnsi="黑体" w:eastAsia="黑体" w:cs="黑体"/>
                <w:sz w:val="24"/>
                <w:szCs w:val="32"/>
              </w:rPr>
            </w:pPr>
          </w:p>
          <w:p>
            <w:pPr>
              <w:spacing w:line="320" w:lineRule="exact"/>
              <w:jc w:val="center"/>
              <w:rPr>
                <w:rFonts w:hint="eastAsia" w:ascii="黑体" w:hAnsi="黑体" w:eastAsia="黑体" w:cs="黑体"/>
                <w:sz w:val="24"/>
                <w:szCs w:val="32"/>
              </w:rPr>
            </w:pPr>
          </w:p>
          <w:p>
            <w:pPr>
              <w:pStyle w:val="6"/>
              <w:rPr>
                <w:rFonts w:hint="eastAsia" w:ascii="黑体" w:hAnsi="黑体" w:eastAsia="黑体" w:cs="黑体"/>
                <w:sz w:val="24"/>
                <w:szCs w:val="32"/>
              </w:rPr>
            </w:pPr>
          </w:p>
          <w:p>
            <w:pPr>
              <w:rPr>
                <w:rFonts w:hint="eastAsia"/>
              </w:rPr>
            </w:pPr>
          </w:p>
          <w:p>
            <w:pPr>
              <w:spacing w:line="320" w:lineRule="exact"/>
              <w:jc w:val="center"/>
              <w:rPr>
                <w:rFonts w:hint="eastAsia" w:ascii="黑体" w:hAnsi="黑体" w:eastAsia="黑体" w:cs="黑体"/>
                <w:sz w:val="24"/>
                <w:szCs w:val="32"/>
              </w:rPr>
            </w:pPr>
          </w:p>
          <w:p>
            <w:pPr>
              <w:rPr>
                <w:rFonts w:hint="eastAsia" w:ascii="黑体" w:hAnsi="黑体" w:eastAsia="黑体" w:cs="黑体"/>
                <w:sz w:val="24"/>
                <w:szCs w:val="32"/>
              </w:rPr>
            </w:pPr>
            <w:r>
              <w:rPr>
                <w:rFonts w:hint="eastAsia" w:ascii="黑体" w:hAnsi="黑体" w:eastAsia="黑体" w:cs="黑体"/>
                <w:sz w:val="24"/>
                <w:szCs w:val="32"/>
                <w:lang w:eastAsia="zh-CN"/>
              </w:rPr>
              <w:t>二</w:t>
            </w:r>
          </w:p>
          <w:p>
            <w:pPr>
              <w:pStyle w:val="6"/>
              <w:rPr>
                <w:rFonts w:hint="eastAsia" w:ascii="黑体" w:hAnsi="黑体" w:eastAsia="黑体" w:cs="黑体"/>
                <w:sz w:val="24"/>
                <w:szCs w:val="32"/>
              </w:rPr>
            </w:pPr>
          </w:p>
          <w:p>
            <w:pPr>
              <w:rPr>
                <w:rFonts w:hint="eastAsia" w:ascii="黑体" w:hAnsi="黑体" w:eastAsia="黑体" w:cs="黑体"/>
                <w:sz w:val="24"/>
                <w:szCs w:val="32"/>
              </w:rPr>
            </w:pPr>
          </w:p>
          <w:p>
            <w:pPr>
              <w:pStyle w:val="6"/>
              <w:rPr>
                <w:rFonts w:hint="eastAsia" w:ascii="黑体" w:hAnsi="黑体" w:eastAsia="黑体" w:cs="黑体"/>
                <w:sz w:val="24"/>
                <w:szCs w:val="32"/>
              </w:rPr>
            </w:pPr>
          </w:p>
          <w:p>
            <w:pPr>
              <w:rPr>
                <w:rFonts w:hint="eastAsia" w:ascii="黑体" w:hAnsi="黑体" w:eastAsia="黑体" w:cs="黑体"/>
                <w:sz w:val="24"/>
                <w:szCs w:val="32"/>
              </w:rPr>
            </w:pPr>
          </w:p>
          <w:p>
            <w:pPr>
              <w:pStyle w:val="6"/>
              <w:rPr>
                <w:rFonts w:hint="eastAsia" w:ascii="黑体" w:hAnsi="黑体" w:eastAsia="黑体" w:cs="黑体"/>
                <w:sz w:val="24"/>
                <w:szCs w:val="32"/>
              </w:rPr>
            </w:pPr>
          </w:p>
          <w:p>
            <w:pPr>
              <w:rPr>
                <w:rFonts w:hint="eastAsia"/>
              </w:rPr>
            </w:pPr>
          </w:p>
          <w:p>
            <w:pPr>
              <w:rPr>
                <w:rFonts w:hint="eastAsia"/>
              </w:rPr>
            </w:pPr>
          </w:p>
        </w:tc>
        <w:tc>
          <w:tcPr>
            <w:tcW w:w="964" w:type="dxa"/>
            <w:vMerge w:val="restart"/>
            <w:tcBorders>
              <w:top w:val="single" w:color="auto" w:sz="4" w:space="0"/>
              <w:right w:val="single" w:color="000000" w:sz="4" w:space="0"/>
            </w:tcBorders>
            <w:noWrap w:val="0"/>
            <w:vAlign w:val="center"/>
          </w:tcPr>
          <w:p>
            <w:pPr>
              <w:jc w:val="left"/>
              <w:rPr>
                <w:rFonts w:hint="eastAsia" w:ascii="黑体" w:hAnsi="黑体" w:eastAsia="黑体" w:cs="黑体"/>
                <w:sz w:val="24"/>
                <w:szCs w:val="24"/>
                <w:lang w:eastAsia="zh-CN"/>
              </w:rPr>
            </w:pPr>
          </w:p>
          <w:p>
            <w:pPr>
              <w:jc w:val="left"/>
              <w:rPr>
                <w:rFonts w:hint="eastAsia" w:ascii="黑体" w:hAnsi="黑体" w:eastAsia="黑体" w:cs="黑体"/>
                <w:sz w:val="24"/>
                <w:szCs w:val="24"/>
                <w:lang w:eastAsia="zh-CN"/>
              </w:rPr>
            </w:pPr>
          </w:p>
          <w:p>
            <w:pPr>
              <w:jc w:val="left"/>
              <w:rPr>
                <w:rFonts w:hint="eastAsia" w:ascii="黑体" w:hAnsi="黑体" w:eastAsia="黑体" w:cs="黑体"/>
                <w:sz w:val="24"/>
                <w:szCs w:val="24"/>
                <w:lang w:eastAsia="zh-CN"/>
              </w:rPr>
            </w:pPr>
          </w:p>
          <w:p>
            <w:pPr>
              <w:jc w:val="left"/>
              <w:rPr>
                <w:rFonts w:hint="eastAsia" w:ascii="黑体" w:hAnsi="黑体" w:eastAsia="黑体" w:cs="黑体"/>
                <w:sz w:val="24"/>
                <w:szCs w:val="24"/>
                <w:lang w:eastAsia="zh-CN"/>
              </w:rPr>
            </w:pPr>
          </w:p>
          <w:p>
            <w:pPr>
              <w:jc w:val="left"/>
              <w:rPr>
                <w:rFonts w:hint="eastAsia" w:ascii="黑体" w:hAnsi="黑体" w:eastAsia="黑体" w:cs="黑体"/>
                <w:sz w:val="24"/>
                <w:szCs w:val="24"/>
                <w:lang w:eastAsia="zh-CN"/>
              </w:rPr>
            </w:pPr>
          </w:p>
          <w:p>
            <w:pPr>
              <w:jc w:val="left"/>
              <w:rPr>
                <w:rFonts w:hint="eastAsia" w:ascii="黑体" w:hAnsi="黑体" w:eastAsia="黑体" w:cs="黑体"/>
                <w:sz w:val="24"/>
                <w:szCs w:val="24"/>
                <w:lang w:eastAsia="zh-CN"/>
              </w:rPr>
            </w:pPr>
          </w:p>
          <w:p>
            <w:pPr>
              <w:jc w:val="left"/>
              <w:rPr>
                <w:rFonts w:hint="eastAsia" w:ascii="黑体" w:hAnsi="黑体" w:eastAsia="黑体" w:cs="黑体"/>
                <w:sz w:val="24"/>
                <w:szCs w:val="24"/>
                <w:lang w:eastAsia="zh-CN"/>
              </w:rPr>
            </w:pPr>
          </w:p>
          <w:p>
            <w:pPr>
              <w:jc w:val="left"/>
              <w:rPr>
                <w:rFonts w:hint="eastAsia" w:ascii="黑体" w:hAnsi="黑体" w:eastAsia="黑体" w:cs="黑体"/>
                <w:sz w:val="24"/>
                <w:szCs w:val="24"/>
                <w:lang w:eastAsia="zh-CN"/>
              </w:rPr>
            </w:pPr>
          </w:p>
          <w:p>
            <w:pPr>
              <w:spacing w:line="320" w:lineRule="exact"/>
              <w:jc w:val="left"/>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强化项目管理，确保质量效果</w:t>
            </w:r>
          </w:p>
          <w:p>
            <w:pPr>
              <w:spacing w:line="320" w:lineRule="exact"/>
              <w:rPr>
                <w:rFonts w:hint="eastAsia" w:ascii="黑体" w:hAnsi="黑体" w:eastAsia="黑体" w:cs="黑体"/>
                <w:sz w:val="24"/>
                <w:szCs w:val="24"/>
                <w:lang w:eastAsia="zh-CN"/>
              </w:rPr>
            </w:pPr>
          </w:p>
          <w:p>
            <w:pPr>
              <w:spacing w:line="320" w:lineRule="exact"/>
              <w:jc w:val="left"/>
              <w:rPr>
                <w:rFonts w:hint="eastAsia" w:ascii="黑体" w:hAnsi="黑体" w:eastAsia="黑体" w:cs="黑体"/>
                <w:sz w:val="24"/>
                <w:szCs w:val="24"/>
                <w:lang w:eastAsia="zh-CN"/>
              </w:rPr>
            </w:pPr>
          </w:p>
          <w:p>
            <w:pPr>
              <w:spacing w:line="320" w:lineRule="exact"/>
              <w:rPr>
                <w:rFonts w:hint="eastAsia" w:ascii="黑体" w:hAnsi="黑体" w:eastAsia="黑体" w:cs="黑体"/>
                <w:sz w:val="24"/>
                <w:szCs w:val="24"/>
                <w:lang w:eastAsia="zh-CN"/>
              </w:rPr>
            </w:pPr>
          </w:p>
          <w:p>
            <w:pPr>
              <w:spacing w:line="320" w:lineRule="exact"/>
              <w:jc w:val="left"/>
              <w:rPr>
                <w:rFonts w:hint="eastAsia" w:ascii="黑体" w:hAnsi="黑体" w:eastAsia="黑体" w:cs="黑体"/>
                <w:sz w:val="24"/>
                <w:szCs w:val="24"/>
                <w:lang w:eastAsia="zh-CN"/>
              </w:rPr>
            </w:pPr>
          </w:p>
          <w:p>
            <w:pPr>
              <w:spacing w:line="320" w:lineRule="exact"/>
              <w:rPr>
                <w:rFonts w:hint="eastAsia" w:ascii="黑体" w:hAnsi="黑体" w:eastAsia="黑体" w:cs="黑体"/>
                <w:sz w:val="24"/>
                <w:szCs w:val="24"/>
                <w:lang w:eastAsia="zh-CN"/>
              </w:rPr>
            </w:pPr>
          </w:p>
          <w:p>
            <w:pPr>
              <w:spacing w:line="320" w:lineRule="exact"/>
              <w:jc w:val="left"/>
              <w:rPr>
                <w:rFonts w:hint="eastAsia" w:ascii="黑体" w:hAnsi="黑体" w:eastAsia="黑体" w:cs="黑体"/>
                <w:sz w:val="24"/>
                <w:lang w:eastAsia="zh-CN"/>
              </w:rPr>
            </w:pPr>
          </w:p>
          <w:p>
            <w:pPr>
              <w:spacing w:line="320" w:lineRule="exact"/>
              <w:jc w:val="left"/>
              <w:rPr>
                <w:rFonts w:hint="eastAsia" w:ascii="黑体" w:hAnsi="黑体" w:eastAsia="黑体" w:cs="黑体"/>
                <w:b w:val="0"/>
                <w:bCs w:val="0"/>
                <w:sz w:val="24"/>
                <w:szCs w:val="24"/>
              </w:rPr>
            </w:pPr>
          </w:p>
        </w:tc>
        <w:tc>
          <w:tcPr>
            <w:tcW w:w="1366" w:type="dxa"/>
            <w:tcBorders>
              <w:top w:val="single" w:color="auto" w:sz="4" w:space="0"/>
              <w:left w:val="single" w:color="000000" w:sz="4" w:space="0"/>
            </w:tcBorders>
            <w:noWrap w:val="0"/>
            <w:vAlign w:val="center"/>
          </w:tcPr>
          <w:p>
            <w:pPr>
              <w:spacing w:line="320" w:lineRule="exact"/>
              <w:rPr>
                <w:rFonts w:hint="eastAsia" w:ascii="楷体_GB2312" w:hAnsi="楷体_GB2312" w:eastAsia="楷体_GB2312" w:cs="楷体_GB2312"/>
                <w:b/>
                <w:bCs/>
                <w:sz w:val="24"/>
                <w:szCs w:val="24"/>
                <w:highlight w:val="none"/>
              </w:rPr>
            </w:pPr>
            <w:r>
              <w:rPr>
                <w:rFonts w:hint="eastAsia" w:ascii="楷体_GB2312" w:hAnsi="楷体_GB2312" w:eastAsia="楷体_GB2312" w:cs="楷体_GB2312"/>
                <w:b/>
                <w:bCs/>
                <w:sz w:val="24"/>
                <w:szCs w:val="24"/>
                <w:highlight w:val="none"/>
              </w:rPr>
              <w:t>（一）统筹专项改造“综合改一次”</w:t>
            </w:r>
          </w:p>
        </w:tc>
        <w:tc>
          <w:tcPr>
            <w:tcW w:w="10893"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481" w:firstLineChars="0"/>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color w:val="000000"/>
                <w:kern w:val="0"/>
                <w:sz w:val="24"/>
                <w:szCs w:val="24"/>
                <w:lang w:val="en-US" w:eastAsia="zh-CN"/>
              </w:rPr>
              <w:t>2.浙江省宁波市推进雨污分流、养老、垃圾分类、智慧安防设施等使用财政资金、涉及小区的各专项工程与城镇老旧小区改造同步实施，</w:t>
            </w:r>
            <w:r>
              <w:rPr>
                <w:rFonts w:hint="eastAsia" w:ascii="仿宋_GB2312" w:hAnsi="仿宋_GB2312" w:eastAsia="仿宋_GB2312" w:cs="仿宋_GB2312"/>
                <w:color w:val="000000"/>
                <w:kern w:val="0"/>
                <w:sz w:val="24"/>
                <w:szCs w:val="24"/>
              </w:rPr>
              <w:t>将</w:t>
            </w:r>
            <w:r>
              <w:rPr>
                <w:rFonts w:hint="eastAsia" w:ascii="仿宋_GB2312" w:hAnsi="仿宋_GB2312" w:eastAsia="仿宋_GB2312" w:cs="仿宋_GB2312"/>
                <w:color w:val="000000"/>
                <w:kern w:val="0"/>
                <w:sz w:val="24"/>
                <w:szCs w:val="24"/>
                <w:lang w:eastAsia="zh-CN"/>
              </w:rPr>
              <w:t>相关</w:t>
            </w:r>
            <w:r>
              <w:rPr>
                <w:rFonts w:hint="eastAsia" w:ascii="仿宋_GB2312" w:hAnsi="仿宋_GB2312" w:eastAsia="仿宋_GB2312" w:cs="仿宋_GB2312"/>
                <w:color w:val="000000"/>
                <w:kern w:val="0"/>
                <w:sz w:val="24"/>
                <w:szCs w:val="24"/>
              </w:rPr>
              <w:t>专项工程纳入城镇老旧小区改造项目的建设管理体系，</w:t>
            </w:r>
            <w:r>
              <w:rPr>
                <w:rFonts w:hint="eastAsia" w:ascii="仿宋_GB2312" w:hAnsi="仿宋_GB2312" w:eastAsia="仿宋_GB2312" w:cs="仿宋_GB2312"/>
                <w:color w:val="000000"/>
                <w:kern w:val="0"/>
                <w:sz w:val="24"/>
                <w:szCs w:val="24"/>
                <w:lang w:eastAsia="zh-CN"/>
              </w:rPr>
              <w:t>建立</w:t>
            </w:r>
            <w:r>
              <w:rPr>
                <w:rFonts w:hint="eastAsia" w:ascii="仿宋_GB2312" w:hAnsi="仿宋_GB2312" w:eastAsia="仿宋_GB2312" w:cs="仿宋_GB2312"/>
                <w:color w:val="000000"/>
                <w:kern w:val="0"/>
                <w:sz w:val="24"/>
                <w:szCs w:val="24"/>
              </w:rPr>
              <w:t>项目</w:t>
            </w:r>
            <w:r>
              <w:rPr>
                <w:rFonts w:hint="eastAsia" w:ascii="仿宋_GB2312" w:hAnsi="仿宋_GB2312" w:eastAsia="仿宋_GB2312" w:cs="仿宋_GB2312"/>
                <w:snapToGrid/>
                <w:color w:val="000000"/>
                <w:kern w:val="0"/>
                <w:sz w:val="24"/>
                <w:szCs w:val="24"/>
              </w:rPr>
              <w:t>立项、招投标、开工、完工等关键</w:t>
            </w:r>
            <w:r>
              <w:rPr>
                <w:rFonts w:hint="eastAsia" w:ascii="仿宋_GB2312" w:hAnsi="仿宋_GB2312" w:eastAsia="仿宋_GB2312" w:cs="仿宋_GB2312"/>
                <w:color w:val="000000"/>
                <w:kern w:val="0"/>
                <w:sz w:val="24"/>
                <w:szCs w:val="24"/>
              </w:rPr>
              <w:t>环节分阶段考核机制，实行城镇老旧小区改造和专项工程建设规划、审批、设计、施工、交付“五同步”</w:t>
            </w:r>
            <w:r>
              <w:rPr>
                <w:rFonts w:hint="eastAsia" w:ascii="仿宋_GB2312" w:hAnsi="仿宋_GB2312" w:eastAsia="仿宋_GB2312" w:cs="仿宋_GB2312"/>
                <w:color w:val="000000"/>
                <w:kern w:val="0"/>
                <w:sz w:val="24"/>
                <w:szCs w:val="24"/>
                <w:lang w:val="en-US" w:eastAsia="zh-CN"/>
              </w:rPr>
              <w:t>。例</w:t>
            </w:r>
            <w:r>
              <w:rPr>
                <w:rFonts w:hint="eastAsia" w:ascii="仿宋_GB2312" w:hAnsi="仿宋_GB2312" w:eastAsia="仿宋_GB2312" w:cs="仿宋_GB2312"/>
                <w:color w:val="000000"/>
                <w:kern w:val="0"/>
                <w:sz w:val="24"/>
                <w:szCs w:val="24"/>
                <w:lang w:eastAsia="zh-CN"/>
              </w:rPr>
              <w:t>如：浙江省宁波市</w:t>
            </w:r>
            <w:r>
              <w:rPr>
                <w:rFonts w:hint="eastAsia" w:ascii="仿宋_GB2312" w:hAnsi="仿宋_GB2312" w:eastAsia="仿宋_GB2312" w:cs="仿宋_GB2312"/>
                <w:color w:val="000000"/>
                <w:kern w:val="0"/>
                <w:sz w:val="24"/>
                <w:szCs w:val="24"/>
              </w:rPr>
              <w:t>鄞州区丹凤紫鹃小区项目谋划阶段</w:t>
            </w:r>
            <w:r>
              <w:rPr>
                <w:rFonts w:hint="eastAsia" w:ascii="仿宋_GB2312" w:hAnsi="仿宋_GB2312" w:eastAsia="仿宋_GB2312" w:cs="仿宋_GB2312"/>
                <w:color w:val="000000"/>
                <w:kern w:val="0"/>
                <w:sz w:val="24"/>
                <w:szCs w:val="24"/>
                <w:lang w:eastAsia="zh-CN"/>
              </w:rPr>
              <w:t>就</w:t>
            </w:r>
            <w:r>
              <w:rPr>
                <w:rFonts w:hint="eastAsia" w:ascii="仿宋_GB2312" w:hAnsi="仿宋_GB2312" w:eastAsia="仿宋_GB2312" w:cs="仿宋_GB2312"/>
                <w:color w:val="000000"/>
                <w:kern w:val="0"/>
                <w:sz w:val="24"/>
                <w:szCs w:val="24"/>
              </w:rPr>
              <w:t>通盘考虑区块品质同步提升，在设计方案综合老旧小区改造、小区外道路综合整治、小区旁塘河整治、小区内小学“最美放学路”改造等专项工程实施需求，</w:t>
            </w:r>
            <w:r>
              <w:rPr>
                <w:rFonts w:hint="eastAsia" w:ascii="仿宋_GB2312" w:hAnsi="仿宋_GB2312" w:eastAsia="仿宋_GB2312" w:cs="仿宋_GB2312"/>
                <w:color w:val="000000"/>
                <w:kern w:val="0"/>
                <w:sz w:val="24"/>
                <w:szCs w:val="24"/>
                <w:lang w:eastAsia="zh-CN"/>
              </w:rPr>
              <w:t>统筹开展</w:t>
            </w:r>
            <w:r>
              <w:rPr>
                <w:rFonts w:hint="eastAsia" w:ascii="仿宋_GB2312" w:hAnsi="仿宋_GB2312" w:eastAsia="仿宋_GB2312" w:cs="仿宋_GB2312"/>
                <w:color w:val="000000"/>
                <w:kern w:val="0"/>
                <w:sz w:val="24"/>
                <w:szCs w:val="24"/>
              </w:rPr>
              <w:t>规划设计，形成</w:t>
            </w:r>
            <w:r>
              <w:rPr>
                <w:rFonts w:hint="eastAsia" w:ascii="仿宋_GB2312" w:hAnsi="仿宋_GB2312" w:eastAsia="仿宋_GB2312" w:cs="仿宋_GB2312"/>
                <w:color w:val="000000"/>
                <w:kern w:val="0"/>
                <w:sz w:val="24"/>
                <w:szCs w:val="24"/>
                <w:lang w:eastAsia="zh-CN"/>
              </w:rPr>
              <w:t>系统全面的</w:t>
            </w:r>
            <w:r>
              <w:rPr>
                <w:rFonts w:hint="eastAsia" w:ascii="仿宋_GB2312" w:hAnsi="仿宋_GB2312" w:eastAsia="仿宋_GB2312" w:cs="仿宋_GB2312"/>
                <w:color w:val="000000"/>
                <w:kern w:val="0"/>
                <w:sz w:val="24"/>
                <w:szCs w:val="24"/>
              </w:rPr>
              <w:t>工程</w:t>
            </w:r>
            <w:r>
              <w:rPr>
                <w:rFonts w:hint="eastAsia" w:ascii="仿宋_GB2312" w:hAnsi="仿宋_GB2312" w:eastAsia="仿宋_GB2312" w:cs="仿宋_GB2312"/>
                <w:color w:val="000000"/>
                <w:kern w:val="0"/>
                <w:sz w:val="24"/>
                <w:szCs w:val="24"/>
                <w:lang w:eastAsia="zh-CN"/>
              </w:rPr>
              <w:t>实施</w:t>
            </w:r>
            <w:r>
              <w:rPr>
                <w:rFonts w:hint="eastAsia" w:ascii="仿宋_GB2312" w:hAnsi="仿宋_GB2312" w:eastAsia="仿宋_GB2312" w:cs="仿宋_GB2312"/>
                <w:color w:val="000000"/>
                <w:kern w:val="0"/>
                <w:sz w:val="24"/>
                <w:szCs w:val="24"/>
              </w:rPr>
              <w:t>蓝图</w:t>
            </w:r>
            <w:r>
              <w:rPr>
                <w:rFonts w:hint="eastAsia" w:ascii="仿宋_GB2312" w:hAnsi="仿宋_GB2312" w:eastAsia="仿宋_GB2312" w:cs="仿宋_GB2312"/>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jc w:val="center"/>
        </w:trPr>
        <w:tc>
          <w:tcPr>
            <w:tcW w:w="455" w:type="dxa"/>
            <w:vMerge w:val="continue"/>
            <w:tcBorders>
              <w:left w:val="single" w:color="000000" w:sz="4" w:space="0"/>
            </w:tcBorders>
            <w:noWrap w:val="0"/>
            <w:vAlign w:val="center"/>
          </w:tcPr>
          <w:p>
            <w:pPr>
              <w:rPr>
                <w:rFonts w:hint="eastAsia"/>
              </w:rPr>
            </w:pPr>
          </w:p>
        </w:tc>
        <w:tc>
          <w:tcPr>
            <w:tcW w:w="964" w:type="dxa"/>
            <w:vMerge w:val="continue"/>
            <w:tcBorders>
              <w:right w:val="single" w:color="000000" w:sz="4" w:space="0"/>
            </w:tcBorders>
            <w:noWrap w:val="0"/>
            <w:vAlign w:val="center"/>
          </w:tcPr>
          <w:p>
            <w:pPr>
              <w:spacing w:line="320" w:lineRule="exact"/>
              <w:jc w:val="center"/>
              <w:rPr>
                <w:rFonts w:hint="eastAsia" w:ascii="楷体_GB2312" w:hAnsi="楷体_GB2312" w:eastAsia="楷体_GB2312" w:cs="楷体_GB2312"/>
                <w:b/>
                <w:bCs/>
                <w:sz w:val="24"/>
                <w:szCs w:val="24"/>
              </w:rPr>
            </w:pPr>
          </w:p>
        </w:tc>
        <w:tc>
          <w:tcPr>
            <w:tcW w:w="1366" w:type="dxa"/>
            <w:noWrap w:val="0"/>
            <w:vAlign w:val="center"/>
          </w:tcPr>
          <w:p>
            <w:pPr>
              <w:spacing w:line="320" w:lineRule="exact"/>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eastAsia="zh-CN"/>
              </w:rPr>
              <w:t>（二）优化项目审批流程</w:t>
            </w:r>
          </w:p>
        </w:tc>
        <w:tc>
          <w:tcPr>
            <w:tcW w:w="10893"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481"/>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lang w:eastAsia="zh-CN"/>
              </w:rPr>
              <w:t>山东省青岛市</w:t>
            </w:r>
            <w:r>
              <w:rPr>
                <w:rFonts w:hint="eastAsia" w:ascii="仿宋_GB2312" w:hAnsi="仿宋_GB2312" w:eastAsia="仿宋_GB2312" w:cs="仿宋_GB2312"/>
                <w:color w:val="000000"/>
                <w:kern w:val="0"/>
                <w:sz w:val="24"/>
                <w:szCs w:val="24"/>
              </w:rPr>
              <w:t>建立老旧小区改造项目联合审查机制</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由辖区老旧小区改造工作牵头单位组织发</w:t>
            </w:r>
            <w:r>
              <w:rPr>
                <w:rFonts w:hint="eastAsia" w:ascii="仿宋_GB2312" w:hAnsi="仿宋_GB2312" w:eastAsia="仿宋_GB2312" w:cs="仿宋_GB2312"/>
                <w:color w:val="000000"/>
                <w:kern w:val="0"/>
                <w:sz w:val="24"/>
                <w:szCs w:val="24"/>
                <w:lang w:eastAsia="zh-CN"/>
              </w:rPr>
              <w:t>展</w:t>
            </w:r>
            <w:r>
              <w:rPr>
                <w:rFonts w:hint="eastAsia" w:ascii="仿宋_GB2312" w:hAnsi="仿宋_GB2312" w:eastAsia="仿宋_GB2312" w:cs="仿宋_GB2312"/>
                <w:color w:val="000000"/>
                <w:kern w:val="0"/>
                <w:sz w:val="24"/>
                <w:szCs w:val="24"/>
              </w:rPr>
              <w:t>改</w:t>
            </w:r>
            <w:r>
              <w:rPr>
                <w:rFonts w:hint="eastAsia" w:ascii="仿宋_GB2312" w:hAnsi="仿宋_GB2312" w:eastAsia="仿宋_GB2312" w:cs="仿宋_GB2312"/>
                <w:color w:val="000000"/>
                <w:kern w:val="0"/>
                <w:sz w:val="24"/>
                <w:szCs w:val="24"/>
                <w:lang w:eastAsia="zh-CN"/>
              </w:rPr>
              <w:t>革</w:t>
            </w:r>
            <w:r>
              <w:rPr>
                <w:rFonts w:hint="eastAsia" w:ascii="仿宋_GB2312" w:hAnsi="仿宋_GB2312" w:eastAsia="仿宋_GB2312" w:cs="仿宋_GB2312"/>
                <w:color w:val="000000"/>
                <w:kern w:val="0"/>
                <w:sz w:val="24"/>
                <w:szCs w:val="24"/>
              </w:rPr>
              <w:t>、财政、自然资源和规划、城市管理等部门</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结合小区状况和居民需求</w:t>
            </w:r>
            <w:r>
              <w:rPr>
                <w:rFonts w:hint="eastAsia" w:ascii="仿宋_GB2312" w:hAnsi="仿宋_GB2312" w:eastAsia="仿宋_GB2312" w:cs="仿宋_GB2312"/>
                <w:color w:val="000000"/>
                <w:kern w:val="0"/>
                <w:sz w:val="24"/>
                <w:szCs w:val="24"/>
                <w:lang w:eastAsia="zh-CN"/>
              </w:rPr>
              <w:t>，对</w:t>
            </w:r>
            <w:r>
              <w:rPr>
                <w:rFonts w:hint="default" w:ascii="仿宋_GB2312" w:hAnsi="仿宋_GB2312" w:eastAsia="仿宋_GB2312" w:cs="仿宋_GB2312"/>
                <w:color w:val="000000"/>
                <w:kern w:val="0"/>
                <w:sz w:val="24"/>
                <w:szCs w:val="24"/>
              </w:rPr>
              <w:t>改造内容、规划设计、投资概算、资金来源</w:t>
            </w:r>
            <w:r>
              <w:rPr>
                <w:rFonts w:hint="eastAsia" w:ascii="仿宋_GB2312" w:hAnsi="仿宋_GB2312" w:eastAsia="仿宋_GB2312" w:cs="仿宋_GB2312"/>
                <w:color w:val="000000"/>
                <w:kern w:val="0"/>
                <w:sz w:val="24"/>
                <w:szCs w:val="24"/>
                <w:lang w:eastAsia="zh-CN"/>
              </w:rPr>
              <w:t>及</w:t>
            </w:r>
            <w:r>
              <w:rPr>
                <w:rFonts w:hint="eastAsia" w:ascii="仿宋_GB2312" w:hAnsi="仿宋_GB2312" w:eastAsia="仿宋_GB2312" w:cs="仿宋_GB2312"/>
                <w:color w:val="000000"/>
                <w:kern w:val="0"/>
                <w:sz w:val="24"/>
                <w:szCs w:val="24"/>
              </w:rPr>
              <w:t>物业管理情况进行审查</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在《联合审查表》上一次性确认盖章后即可</w:t>
            </w:r>
            <w:r>
              <w:rPr>
                <w:rFonts w:hint="eastAsia" w:ascii="仿宋_GB2312" w:hAnsi="仿宋_GB2312" w:eastAsia="仿宋_GB2312" w:cs="仿宋_GB2312"/>
                <w:color w:val="000000"/>
                <w:kern w:val="0"/>
                <w:sz w:val="24"/>
                <w:szCs w:val="24"/>
                <w:lang w:eastAsia="zh-CN"/>
              </w:rPr>
              <w:t>完成</w:t>
            </w:r>
            <w:r>
              <w:rPr>
                <w:rFonts w:hint="eastAsia" w:ascii="仿宋_GB2312" w:hAnsi="仿宋_GB2312" w:eastAsia="仿宋_GB2312" w:cs="仿宋_GB2312"/>
                <w:color w:val="000000"/>
                <w:kern w:val="0"/>
                <w:sz w:val="24"/>
                <w:szCs w:val="24"/>
              </w:rPr>
              <w:t>审批，压缩审批时间约15天。莱西</w:t>
            </w:r>
            <w:r>
              <w:rPr>
                <w:rFonts w:hint="eastAsia" w:ascii="仿宋_GB2312" w:hAnsi="仿宋_GB2312" w:eastAsia="仿宋_GB2312" w:cs="仿宋_GB2312"/>
                <w:color w:val="000000"/>
                <w:kern w:val="0"/>
                <w:sz w:val="24"/>
                <w:szCs w:val="24"/>
                <w:lang w:eastAsia="zh-CN"/>
              </w:rPr>
              <w:t>市将35个老旧小区的供气设施改造、26个老旧小区的供热设施改造打包立项，审批</w:t>
            </w:r>
            <w:r>
              <w:rPr>
                <w:rFonts w:hint="eastAsia" w:ascii="仿宋_GB2312" w:hAnsi="仿宋_GB2312" w:eastAsia="仿宋_GB2312" w:cs="仿宋_GB2312"/>
                <w:color w:val="000000"/>
                <w:kern w:val="0"/>
                <w:sz w:val="24"/>
                <w:szCs w:val="24"/>
              </w:rPr>
              <w:t>时限</w:t>
            </w:r>
            <w:r>
              <w:rPr>
                <w:rFonts w:hint="eastAsia" w:ascii="仿宋_GB2312" w:hAnsi="仿宋_GB2312" w:eastAsia="仿宋_GB2312" w:cs="仿宋_GB2312"/>
                <w:color w:val="000000"/>
                <w:kern w:val="0"/>
                <w:sz w:val="24"/>
                <w:szCs w:val="24"/>
                <w:lang w:eastAsia="zh-CN"/>
              </w:rPr>
              <w:t>由</w:t>
            </w:r>
            <w:r>
              <w:rPr>
                <w:rFonts w:hint="eastAsia" w:ascii="仿宋_GB2312" w:hAnsi="仿宋_GB2312" w:eastAsia="仿宋_GB2312" w:cs="仿宋_GB2312"/>
                <w:color w:val="000000"/>
                <w:kern w:val="0"/>
                <w:sz w:val="24"/>
                <w:szCs w:val="24"/>
                <w:lang w:val="en-US" w:eastAsia="zh-CN"/>
              </w:rPr>
              <w:t>35天减少为2天</w:t>
            </w:r>
            <w:r>
              <w:rPr>
                <w:rFonts w:hint="eastAsia" w:ascii="仿宋_GB2312" w:hAnsi="仿宋_GB2312" w:eastAsia="仿宋_GB2312" w:cs="仿宋_GB2312"/>
                <w:color w:val="000000"/>
                <w:kern w:val="0"/>
                <w:sz w:val="24"/>
                <w:szCs w:val="24"/>
              </w:rPr>
              <w:t>。</w:t>
            </w:r>
          </w:p>
          <w:p>
            <w:pPr>
              <w:keepNext w:val="0"/>
              <w:keepLines w:val="0"/>
              <w:pageBreakBefore w:val="0"/>
              <w:kinsoku/>
              <w:wordWrap/>
              <w:overflowPunct/>
              <w:topLinePunct w:val="0"/>
              <w:autoSpaceDE/>
              <w:autoSpaceDN/>
              <w:bidi w:val="0"/>
              <w:adjustRightInd/>
              <w:snapToGrid/>
              <w:spacing w:line="320" w:lineRule="exact"/>
              <w:ind w:firstLine="481" w:firstLineChars="0"/>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lang w:eastAsia="zh-CN"/>
              </w:rPr>
              <w:t>新疆维吾尔自治区乌鲁木齐市</w:t>
            </w:r>
            <w:r>
              <w:rPr>
                <w:rFonts w:hint="eastAsia" w:ascii="仿宋_GB2312" w:hAnsi="仿宋_GB2312" w:eastAsia="仿宋_GB2312" w:cs="仿宋_GB2312"/>
                <w:color w:val="000000"/>
                <w:kern w:val="0"/>
                <w:sz w:val="24"/>
                <w:szCs w:val="24"/>
              </w:rPr>
              <w:t>建立项目联合审查制度，由市级</w:t>
            </w:r>
            <w:r>
              <w:rPr>
                <w:rFonts w:hint="eastAsia" w:ascii="仿宋_GB2312" w:hAnsi="仿宋_GB2312" w:eastAsia="仿宋_GB2312" w:cs="仿宋_GB2312"/>
                <w:color w:val="000000"/>
                <w:kern w:val="0"/>
                <w:sz w:val="24"/>
                <w:szCs w:val="24"/>
                <w:lang w:eastAsia="zh-CN"/>
              </w:rPr>
              <w:t>各部门</w:t>
            </w:r>
            <w:r>
              <w:rPr>
                <w:rFonts w:hint="eastAsia" w:ascii="仿宋_GB2312" w:hAnsi="仿宋_GB2312" w:eastAsia="仿宋_GB2312" w:cs="仿宋_GB2312"/>
                <w:color w:val="000000"/>
                <w:kern w:val="0"/>
                <w:sz w:val="24"/>
                <w:szCs w:val="24"/>
              </w:rPr>
              <w:t>对老旧小区改造项目可行性研究报告、初步设计方案进行联合审查，加快项目相关建设手续审批</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对城镇</w:t>
            </w:r>
            <w:r>
              <w:rPr>
                <w:rFonts w:hint="eastAsia" w:ascii="仿宋_GB2312" w:hAnsi="仿宋_GB2312" w:eastAsia="仿宋_GB2312" w:cs="仿宋_GB2312"/>
                <w:color w:val="000000"/>
                <w:kern w:val="0"/>
                <w:sz w:val="24"/>
                <w:szCs w:val="24"/>
              </w:rPr>
              <w:t>老旧小区改造项目</w:t>
            </w:r>
            <w:r>
              <w:rPr>
                <w:rFonts w:hint="eastAsia" w:ascii="仿宋_GB2312" w:hAnsi="仿宋_GB2312" w:eastAsia="仿宋_GB2312" w:cs="仿宋_GB2312"/>
                <w:color w:val="000000"/>
                <w:kern w:val="0"/>
                <w:sz w:val="24"/>
                <w:szCs w:val="24"/>
                <w:lang w:val="en-US" w:eastAsia="zh-CN"/>
              </w:rPr>
              <w:t>实行</w:t>
            </w:r>
            <w:r>
              <w:rPr>
                <w:rFonts w:hint="eastAsia" w:ascii="仿宋_GB2312" w:hAnsi="仿宋_GB2312" w:eastAsia="仿宋_GB2312" w:cs="仿宋_GB2312"/>
                <w:color w:val="000000"/>
                <w:kern w:val="0"/>
                <w:sz w:val="24"/>
                <w:szCs w:val="24"/>
              </w:rPr>
              <w:t>网上审批</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5日</w:t>
            </w:r>
            <w:r>
              <w:rPr>
                <w:rFonts w:hint="eastAsia" w:ascii="仿宋_GB2312" w:hAnsi="仿宋_GB2312" w:eastAsia="仿宋_GB2312" w:cs="仿宋_GB2312"/>
                <w:color w:val="000000"/>
                <w:kern w:val="0"/>
                <w:sz w:val="24"/>
                <w:szCs w:val="24"/>
                <w:lang w:val="en-US" w:eastAsia="zh-CN"/>
              </w:rPr>
              <w:t>便可办完</w:t>
            </w:r>
            <w:r>
              <w:rPr>
                <w:rFonts w:hint="eastAsia" w:ascii="仿宋_GB2312" w:hAnsi="仿宋_GB2312" w:eastAsia="仿宋_GB2312" w:cs="仿宋_GB2312"/>
                <w:color w:val="000000"/>
                <w:kern w:val="0"/>
                <w:sz w:val="24"/>
                <w:szCs w:val="24"/>
              </w:rPr>
              <w:t>开工手续</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审批</w:t>
            </w:r>
            <w:r>
              <w:rPr>
                <w:rFonts w:hint="eastAsia" w:ascii="仿宋_GB2312" w:hAnsi="仿宋_GB2312" w:eastAsia="仿宋_GB2312" w:cs="仿宋_GB2312"/>
                <w:color w:val="000000"/>
                <w:kern w:val="0"/>
                <w:sz w:val="24"/>
                <w:szCs w:val="24"/>
              </w:rPr>
              <w:t>时限在法定时限基础上缩减70%</w:t>
            </w:r>
            <w:r>
              <w:rPr>
                <w:rFonts w:hint="eastAsia" w:ascii="仿宋_GB2312" w:hAnsi="仿宋_GB2312" w:eastAsia="仿宋_GB2312" w:cs="仿宋_GB2312"/>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455" w:type="dxa"/>
            <w:vMerge w:val="continue"/>
            <w:tcBorders>
              <w:left w:val="single" w:color="000000" w:sz="4" w:space="0"/>
            </w:tcBorders>
            <w:noWrap w:val="0"/>
            <w:vAlign w:val="center"/>
          </w:tcPr>
          <w:p>
            <w:pPr>
              <w:rPr>
                <w:rFonts w:hint="eastAsia"/>
              </w:rPr>
            </w:pPr>
          </w:p>
        </w:tc>
        <w:tc>
          <w:tcPr>
            <w:tcW w:w="964" w:type="dxa"/>
            <w:vMerge w:val="continue"/>
            <w:tcBorders>
              <w:right w:val="single" w:color="000000" w:sz="4" w:space="0"/>
            </w:tcBorders>
            <w:noWrap w:val="0"/>
            <w:vAlign w:val="center"/>
          </w:tcPr>
          <w:p>
            <w:pPr>
              <w:spacing w:line="320" w:lineRule="exact"/>
              <w:jc w:val="center"/>
              <w:rPr>
                <w:rFonts w:hint="eastAsia" w:ascii="楷体_GB2312" w:hAnsi="楷体_GB2312" w:eastAsia="楷体_GB2312" w:cs="楷体_GB2312"/>
                <w:b/>
                <w:bCs/>
                <w:sz w:val="24"/>
                <w:szCs w:val="24"/>
              </w:rPr>
            </w:pPr>
          </w:p>
        </w:tc>
        <w:tc>
          <w:tcPr>
            <w:tcW w:w="1366" w:type="dxa"/>
            <w:noWrap w:val="0"/>
            <w:vAlign w:val="center"/>
          </w:tcPr>
          <w:p>
            <w:pPr>
              <w:spacing w:line="320" w:lineRule="exact"/>
              <w:rPr>
                <w:rFonts w:hint="eastAsia" w:ascii="楷体_GB2312" w:hAnsi="楷体_GB2312" w:eastAsia="楷体_GB2312" w:cs="楷体_GB2312"/>
                <w:b/>
                <w:bCs/>
                <w:sz w:val="24"/>
                <w:szCs w:val="24"/>
                <w:lang w:val="zh-CN" w:eastAsia="zh-CN"/>
              </w:rPr>
            </w:pPr>
            <w:r>
              <w:rPr>
                <w:rFonts w:hint="eastAsia" w:ascii="楷体_GB2312" w:hAnsi="楷体_GB2312" w:eastAsia="楷体_GB2312" w:cs="楷体_GB2312"/>
                <w:b/>
                <w:bCs/>
                <w:sz w:val="24"/>
                <w:szCs w:val="24"/>
                <w:lang w:val="zh-CN" w:eastAsia="zh-CN"/>
              </w:rPr>
              <w:t>（三）完善改造项目推进机制</w:t>
            </w:r>
          </w:p>
          <w:p>
            <w:pPr>
              <w:spacing w:line="320" w:lineRule="exact"/>
              <w:rPr>
                <w:rFonts w:hint="eastAsia" w:ascii="楷体_GB2312" w:hAnsi="楷体_GB2312" w:eastAsia="楷体_GB2312" w:cs="楷体_GB2312"/>
                <w:b/>
                <w:bCs/>
                <w:sz w:val="24"/>
                <w:szCs w:val="24"/>
                <w:lang w:eastAsia="zh-CN"/>
              </w:rPr>
            </w:pPr>
          </w:p>
        </w:tc>
        <w:tc>
          <w:tcPr>
            <w:tcW w:w="10893" w:type="dxa"/>
            <w:noWrap w:val="0"/>
            <w:vAlign w:val="center"/>
          </w:tcPr>
          <w:p>
            <w:pPr>
              <w:spacing w:line="320" w:lineRule="exact"/>
              <w:ind w:firstLine="481"/>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浙江省宁波市推行项目全过程咨询管理制度，聘请专业机构作为全过程咨询服务单位，全面承担方案设计、立项审批、合同管理等各个阶段的管理工作，全过程咨询服务单位在现场派驻各类管理人员，与街道、社区定期召开工程管理例会，</w:t>
            </w:r>
            <w:r>
              <w:rPr>
                <w:rFonts w:hint="eastAsia" w:ascii="仿宋_GB2312" w:hAnsi="仿宋_GB2312" w:eastAsia="仿宋_GB2312" w:cs="仿宋_GB2312"/>
                <w:color w:val="000000"/>
                <w:kern w:val="0"/>
                <w:sz w:val="24"/>
                <w:szCs w:val="24"/>
              </w:rPr>
              <w:t>各参建单位、相关部门协调共商，实现老旧小区改造和专项工程政策协调、施工协作、规范执行、工序安排等方面协同有序管理。</w:t>
            </w:r>
          </w:p>
          <w:p>
            <w:pPr>
              <w:keepNext w:val="0"/>
              <w:keepLines w:val="0"/>
              <w:pageBreakBefore w:val="0"/>
              <w:kinsoku/>
              <w:wordWrap/>
              <w:overflowPunct/>
              <w:topLinePunct w:val="0"/>
              <w:autoSpaceDE/>
              <w:autoSpaceDN/>
              <w:bidi w:val="0"/>
              <w:adjustRightInd/>
              <w:snapToGrid/>
              <w:spacing w:line="320" w:lineRule="exact"/>
              <w:ind w:firstLine="481" w:firstLineChars="0"/>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河北省保定市在施工现场增设主材料展示柜、回音壁、意见箱，摆放防水、道路铺设、管线埋设等工艺模型，让居民直观地了解老旧小区改造工程标准、施工工艺、选材。建立由社区书记担任首席接诉即办师，施工负责人员、设计负责人员、监理负责人员、住房和城乡建设部门巡视员、街道监督联络员、社区监督员、党小组监督员、物业监督员、居民监督员为组成人员的“一师九员”工程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455" w:type="dxa"/>
            <w:vMerge w:val="continue"/>
            <w:tcBorders>
              <w:left w:val="single" w:color="000000" w:sz="4" w:space="0"/>
            </w:tcBorders>
            <w:noWrap w:val="0"/>
            <w:vAlign w:val="center"/>
          </w:tcPr>
          <w:p>
            <w:pPr>
              <w:rPr>
                <w:rFonts w:hint="eastAsia"/>
              </w:rPr>
            </w:pPr>
          </w:p>
        </w:tc>
        <w:tc>
          <w:tcPr>
            <w:tcW w:w="964" w:type="dxa"/>
            <w:vMerge w:val="continue"/>
            <w:tcBorders>
              <w:right w:val="single" w:color="000000" w:sz="4" w:space="0"/>
            </w:tcBorders>
            <w:noWrap w:val="0"/>
            <w:vAlign w:val="center"/>
          </w:tcPr>
          <w:p>
            <w:pPr>
              <w:spacing w:line="320" w:lineRule="exact"/>
              <w:jc w:val="center"/>
              <w:rPr>
                <w:rFonts w:hint="eastAsia" w:ascii="楷体_GB2312" w:hAnsi="楷体_GB2312" w:eastAsia="楷体_GB2312" w:cs="楷体_GB2312"/>
                <w:b/>
                <w:bCs/>
                <w:sz w:val="24"/>
                <w:szCs w:val="24"/>
              </w:rPr>
            </w:pPr>
          </w:p>
        </w:tc>
        <w:tc>
          <w:tcPr>
            <w:tcW w:w="1366" w:type="dxa"/>
            <w:noWrap w:val="0"/>
            <w:vAlign w:val="center"/>
          </w:tcPr>
          <w:p>
            <w:pPr>
              <w:spacing w:line="320" w:lineRule="exact"/>
              <w:rPr>
                <w:rFonts w:hint="eastAsia" w:ascii="楷体_GB2312" w:hAnsi="楷体_GB2312" w:eastAsia="楷体_GB2312" w:cs="楷体_GB2312"/>
                <w:b/>
                <w:bCs/>
                <w:sz w:val="24"/>
                <w:szCs w:val="24"/>
                <w:lang w:val="zh-CN" w:eastAsia="zh-CN"/>
              </w:rPr>
            </w:pPr>
          </w:p>
          <w:p>
            <w:pPr>
              <w:spacing w:line="320" w:lineRule="exact"/>
              <w:rPr>
                <w:rFonts w:hint="eastAsia" w:ascii="楷体_GB2312" w:hAnsi="楷体_GB2312" w:eastAsia="楷体_GB2312" w:cs="楷体_GB2312"/>
                <w:b/>
                <w:bCs/>
                <w:sz w:val="24"/>
                <w:szCs w:val="24"/>
                <w:lang w:val="zh-CN" w:eastAsia="zh-CN"/>
              </w:rPr>
            </w:pPr>
            <w:r>
              <w:rPr>
                <w:rFonts w:hint="eastAsia" w:ascii="楷体_GB2312" w:hAnsi="楷体_GB2312" w:eastAsia="楷体_GB2312" w:cs="楷体_GB2312"/>
                <w:b/>
                <w:bCs/>
                <w:sz w:val="24"/>
                <w:szCs w:val="24"/>
                <w:lang w:val="zh-CN" w:eastAsia="zh-CN"/>
              </w:rPr>
              <w:t>（三）完善改造项目推进机制</w:t>
            </w:r>
          </w:p>
          <w:p>
            <w:pPr>
              <w:spacing w:line="320" w:lineRule="exact"/>
              <w:rPr>
                <w:rFonts w:hint="eastAsia" w:ascii="楷体_GB2312" w:hAnsi="楷体_GB2312" w:eastAsia="楷体_GB2312" w:cs="楷体_GB2312"/>
                <w:b/>
                <w:bCs/>
                <w:sz w:val="24"/>
                <w:szCs w:val="24"/>
                <w:lang w:eastAsia="zh-CN"/>
              </w:rPr>
            </w:pPr>
          </w:p>
        </w:tc>
        <w:tc>
          <w:tcPr>
            <w:tcW w:w="10893"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0"/>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督小组，共同监督改造施工质量、进度和安全。每周六，由首席接诉即办师组织监督小组召开对接恳谈会，总结本周改造施工情况，回应解决居民提出的问题。2022年，全市通过对接恳谈会协调和处理施工、监理、设计类问题1380余件，打破了居民与施工、监理、设计单位沟通壁垒，赢得了群众对改造工作的理解与支持。</w:t>
            </w:r>
          </w:p>
          <w:p>
            <w:pPr>
              <w:keepNext w:val="0"/>
              <w:keepLines w:val="0"/>
              <w:pageBreakBefore w:val="0"/>
              <w:kinsoku/>
              <w:wordWrap/>
              <w:overflowPunct/>
              <w:topLinePunct w:val="0"/>
              <w:autoSpaceDE/>
              <w:autoSpaceDN/>
              <w:bidi w:val="0"/>
              <w:adjustRightInd/>
              <w:snapToGrid/>
              <w:spacing w:line="320" w:lineRule="exact"/>
              <w:ind w:firstLine="481"/>
              <w:outlineLvl w:val="9"/>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szCs w:val="24"/>
                <w:lang w:val="en-US" w:eastAsia="zh-CN"/>
              </w:rPr>
              <w:t>3.北京市石景山区完善老旧小区</w:t>
            </w:r>
            <w:r>
              <w:rPr>
                <w:rFonts w:hint="default" w:ascii="仿宋_GB2312" w:hAnsi="仿宋_GB2312" w:eastAsia="仿宋_GB2312" w:cs="仿宋_GB2312"/>
                <w:color w:val="000000"/>
                <w:kern w:val="0"/>
                <w:sz w:val="24"/>
                <w:szCs w:val="24"/>
                <w:lang w:val="en-US" w:eastAsia="zh-CN"/>
              </w:rPr>
              <w:t>专业管线改造统筹实施机制</w:t>
            </w:r>
            <w:r>
              <w:rPr>
                <w:rFonts w:hint="eastAsia" w:ascii="仿宋_GB2312" w:hAnsi="仿宋_GB2312" w:eastAsia="仿宋_GB2312" w:cs="仿宋_GB2312"/>
                <w:color w:val="000000"/>
                <w:kern w:val="0"/>
                <w:sz w:val="24"/>
                <w:szCs w:val="24"/>
                <w:lang w:val="en-US" w:eastAsia="zh-CN"/>
              </w:rPr>
              <w:t>，</w:t>
            </w:r>
            <w:r>
              <w:rPr>
                <w:rFonts w:hint="default" w:ascii="仿宋_GB2312" w:hAnsi="仿宋_GB2312" w:eastAsia="仿宋_GB2312" w:cs="仿宋_GB2312"/>
                <w:color w:val="000000"/>
                <w:kern w:val="0"/>
                <w:sz w:val="24"/>
                <w:szCs w:val="24"/>
                <w:lang w:val="en-US" w:eastAsia="zh-CN"/>
              </w:rPr>
              <w:t>由</w:t>
            </w:r>
            <w:r>
              <w:rPr>
                <w:rFonts w:hint="eastAsia" w:ascii="仿宋_GB2312" w:hAnsi="仿宋_GB2312" w:eastAsia="仿宋_GB2312" w:cs="仿宋_GB2312"/>
                <w:color w:val="000000"/>
                <w:kern w:val="0"/>
                <w:sz w:val="24"/>
                <w:szCs w:val="24"/>
                <w:lang w:val="en-US" w:eastAsia="zh-CN"/>
              </w:rPr>
              <w:t>改造项目</w:t>
            </w:r>
            <w:r>
              <w:rPr>
                <w:rFonts w:hint="default" w:ascii="仿宋_GB2312" w:hAnsi="仿宋_GB2312" w:eastAsia="仿宋_GB2312" w:cs="仿宋_GB2312"/>
                <w:color w:val="000000"/>
                <w:kern w:val="0"/>
                <w:sz w:val="24"/>
                <w:szCs w:val="24"/>
                <w:lang w:val="en-US" w:eastAsia="zh-CN"/>
              </w:rPr>
              <w:t>实施主体</w:t>
            </w:r>
            <w:r>
              <w:rPr>
                <w:rFonts w:hint="eastAsia" w:ascii="仿宋_GB2312" w:hAnsi="仿宋_GB2312" w:eastAsia="仿宋_GB2312" w:cs="仿宋_GB2312"/>
                <w:color w:val="000000"/>
                <w:kern w:val="0"/>
                <w:sz w:val="24"/>
                <w:szCs w:val="24"/>
                <w:lang w:val="en-US" w:eastAsia="zh-CN"/>
              </w:rPr>
              <w:t>组织各专营单位</w:t>
            </w:r>
            <w:r>
              <w:rPr>
                <w:rFonts w:hint="default" w:ascii="仿宋_GB2312" w:hAnsi="仿宋_GB2312" w:eastAsia="仿宋_GB2312" w:cs="仿宋_GB2312"/>
                <w:color w:val="000000"/>
                <w:kern w:val="0"/>
                <w:sz w:val="24"/>
                <w:szCs w:val="24"/>
                <w:lang w:val="en-US" w:eastAsia="zh-CN"/>
              </w:rPr>
              <w:t>按照“七个一”模式统筹各类管线施工</w:t>
            </w:r>
            <w:r>
              <w:rPr>
                <w:rFonts w:hint="eastAsia" w:ascii="仿宋_GB2312" w:hAnsi="仿宋_GB2312" w:eastAsia="仿宋_GB2312" w:cs="仿宋_GB2312"/>
                <w:color w:val="000000"/>
                <w:kern w:val="0"/>
                <w:sz w:val="24"/>
                <w:szCs w:val="24"/>
                <w:lang w:val="en-US" w:eastAsia="zh-CN"/>
              </w:rPr>
              <w:t>，即“一个各类管线改造实施方案、一次资金批复、一次施工改造、一个勘察单位、一个设计单位、一个施工总承包单位、一个监理单位”，做到</w:t>
            </w:r>
            <w:r>
              <w:rPr>
                <w:rFonts w:hint="default" w:ascii="仿宋_GB2312" w:hAnsi="仿宋_GB2312" w:eastAsia="仿宋_GB2312" w:cs="仿宋_GB2312"/>
                <w:color w:val="000000"/>
                <w:kern w:val="0"/>
                <w:sz w:val="24"/>
                <w:szCs w:val="24"/>
                <w:lang w:val="en-US" w:eastAsia="zh-CN"/>
              </w:rPr>
              <w:t>各类市政专业管线只改一次、一次到位</w:t>
            </w:r>
            <w:r>
              <w:rPr>
                <w:rFonts w:hint="eastAsia" w:ascii="仿宋_GB2312" w:hAnsi="仿宋_GB2312" w:eastAsia="仿宋_GB2312" w:cs="仿宋_GB2312"/>
                <w:color w:val="000000"/>
                <w:kern w:val="0"/>
                <w:sz w:val="24"/>
                <w:szCs w:val="24"/>
                <w:lang w:val="en-US" w:eastAsia="zh-CN"/>
              </w:rPr>
              <w:t>，降低改造成本、提升改造质量</w:t>
            </w:r>
            <w:r>
              <w:rPr>
                <w:rFonts w:hint="default" w:ascii="仿宋_GB2312" w:hAnsi="仿宋_GB2312" w:eastAsia="仿宋_GB2312" w:cs="仿宋_GB2312"/>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5" w:hRule="atLeast"/>
          <w:jc w:val="center"/>
        </w:trPr>
        <w:tc>
          <w:tcPr>
            <w:tcW w:w="455" w:type="dxa"/>
            <w:vMerge w:val="restart"/>
            <w:noWrap w:val="0"/>
            <w:vAlign w:val="center"/>
          </w:tcPr>
          <w:p>
            <w:pPr>
              <w:spacing w:line="320" w:lineRule="exact"/>
              <w:jc w:val="center"/>
              <w:rPr>
                <w:rFonts w:hint="eastAsia" w:ascii="黑体" w:hAnsi="黑体" w:eastAsia="黑体" w:cs="黑体"/>
                <w:sz w:val="24"/>
                <w:szCs w:val="24"/>
                <w:lang w:val="en-US" w:eastAsia="zh-CN"/>
              </w:rPr>
            </w:pPr>
            <w:r>
              <w:rPr>
                <w:rFonts w:hint="eastAsia" w:ascii="黑体" w:hAnsi="黑体" w:eastAsia="黑体" w:cs="黑体"/>
                <w:sz w:val="24"/>
                <w:szCs w:val="32"/>
                <w:lang w:eastAsia="zh-CN"/>
              </w:rPr>
              <w:t>三</w:t>
            </w:r>
          </w:p>
        </w:tc>
        <w:tc>
          <w:tcPr>
            <w:tcW w:w="964" w:type="dxa"/>
            <w:vMerge w:val="restart"/>
            <w:noWrap w:val="0"/>
            <w:vAlign w:val="center"/>
          </w:tcPr>
          <w:p>
            <w:pPr>
              <w:pStyle w:val="6"/>
              <w:jc w:val="both"/>
              <w:rPr>
                <w:rFonts w:hint="eastAsia" w:ascii="黑体" w:hAnsi="黑体" w:eastAsia="黑体" w:cs="黑体"/>
                <w:sz w:val="24"/>
                <w:szCs w:val="24"/>
                <w:lang w:eastAsia="zh-CN"/>
              </w:rPr>
            </w:pPr>
          </w:p>
          <w:p>
            <w:pPr>
              <w:pStyle w:val="6"/>
              <w:jc w:val="left"/>
              <w:rPr>
                <w:rFonts w:hint="eastAsia" w:ascii="黑体" w:hAnsi="黑体" w:eastAsia="黑体" w:cs="黑体"/>
                <w:sz w:val="24"/>
                <w:szCs w:val="24"/>
                <w:lang w:eastAsia="zh-CN"/>
              </w:rPr>
            </w:pPr>
            <w:r>
              <w:rPr>
                <w:rFonts w:hint="eastAsia" w:ascii="黑体" w:hAnsi="黑体" w:eastAsia="黑体" w:cs="黑体"/>
                <w:sz w:val="24"/>
                <w:szCs w:val="24"/>
                <w:lang w:eastAsia="zh-CN"/>
              </w:rPr>
              <w:t>多渠道筹措资金、强化资金保障</w:t>
            </w:r>
          </w:p>
          <w:p>
            <w:pPr>
              <w:spacing w:line="320" w:lineRule="exact"/>
              <w:jc w:val="center"/>
              <w:rPr>
                <w:rFonts w:hint="eastAsia" w:ascii="黑体" w:hAnsi="黑体" w:eastAsia="黑体" w:cs="黑体"/>
                <w:b w:val="0"/>
                <w:bCs w:val="0"/>
                <w:sz w:val="24"/>
                <w:szCs w:val="24"/>
                <w:lang w:eastAsia="zh-CN"/>
              </w:rPr>
            </w:pPr>
          </w:p>
        </w:tc>
        <w:tc>
          <w:tcPr>
            <w:tcW w:w="1366" w:type="dxa"/>
            <w:noWrap w:val="0"/>
            <w:vAlign w:val="center"/>
          </w:tcPr>
          <w:p>
            <w:pPr>
              <w:pStyle w:val="8"/>
              <w:spacing w:line="320" w:lineRule="exact"/>
              <w:ind w:left="0" w:leftChars="0" w:firstLine="0" w:firstLineChars="0"/>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val="en-US" w:eastAsia="zh-CN"/>
              </w:rPr>
              <w:t>（一）引入社会力量以市场化方式参与</w:t>
            </w:r>
          </w:p>
        </w:tc>
        <w:tc>
          <w:tcPr>
            <w:tcW w:w="10893"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481" w:firstLineChars="0"/>
              <w:outlineLvl w:val="9"/>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b w:val="0"/>
                <w:bCs w:val="0"/>
                <w:color w:val="000000"/>
                <w:kern w:val="0"/>
                <w:sz w:val="24"/>
                <w:szCs w:val="24"/>
                <w:lang w:val="en-US" w:eastAsia="zh-CN"/>
              </w:rPr>
              <w:t>北京市石景山区按照“微利可持续”原则，积极拓展吸引社会资本以市场化方式参与改造路径，初步形成“首开经验”“鲁谷模式”2种模式，为北京市探索引入社会资本参与改造提供了有力支撑，推动全市试点项目从2020年的6个扩大到2022年的41个、涉及12个区，社会资本投资约8亿元。其中，“首开经验”是区政府与市区属国企合作推进的“区企合作”模式，借助企业搭建的投融资平台及建管一体化、专业化优势，以“非经资产管理运营平台+专业施工+专业管理”的全链条运作机制，助力改造项目落地</w:t>
            </w:r>
            <w:bookmarkStart w:id="0" w:name="_GoBack"/>
            <w:bookmarkEnd w:id="0"/>
            <w:r>
              <w:rPr>
                <w:rFonts w:hint="eastAsia" w:ascii="仿宋_GB2312" w:hAnsi="仿宋_GB2312" w:eastAsia="仿宋_GB2312" w:cs="仿宋_GB2312"/>
                <w:b w:val="0"/>
                <w:bCs w:val="0"/>
                <w:color w:val="000000"/>
                <w:kern w:val="0"/>
                <w:sz w:val="24"/>
                <w:szCs w:val="24"/>
                <w:lang w:val="en-US" w:eastAsia="zh-CN"/>
              </w:rPr>
              <w:t>实施。“鲁谷模式”是属地街道作为实施主体引入社会资本的“街区改造”模式，</w:t>
            </w:r>
            <w:r>
              <w:rPr>
                <w:rFonts w:hint="eastAsia" w:ascii="仿宋_GB2312" w:hAnsi="仿宋_GB2312" w:eastAsia="仿宋_GB2312" w:cs="仿宋_GB2312"/>
                <w:color w:val="000000"/>
                <w:kern w:val="0"/>
                <w:sz w:val="24"/>
                <w:szCs w:val="24"/>
                <w:lang w:val="en-US" w:eastAsia="zh-CN"/>
              </w:rPr>
              <w:t>通过</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投资+建设+运营</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b w:val="0"/>
                <w:bCs w:val="0"/>
                <w:color w:val="000000"/>
                <w:kern w:val="0"/>
                <w:sz w:val="24"/>
                <w:szCs w:val="24"/>
                <w:lang w:val="en-US" w:eastAsia="zh-CN"/>
              </w:rPr>
              <w:t>“</w:t>
            </w:r>
            <w:r>
              <w:rPr>
                <w:rFonts w:hint="eastAsia" w:ascii="仿宋_GB2312" w:hAnsi="仿宋_GB2312" w:eastAsia="仿宋_GB2312" w:cs="仿宋_GB2312"/>
                <w:color w:val="000000"/>
                <w:kern w:val="0"/>
                <w:sz w:val="24"/>
                <w:szCs w:val="24"/>
              </w:rPr>
              <w:t>一体化招标</w:t>
            </w:r>
            <w:r>
              <w:rPr>
                <w:rFonts w:hint="eastAsia" w:ascii="仿宋_GB2312" w:hAnsi="仿宋_GB2312" w:eastAsia="仿宋_GB2312" w:cs="仿宋_GB2312"/>
                <w:color w:val="000000"/>
                <w:kern w:val="0"/>
                <w:sz w:val="24"/>
                <w:szCs w:val="24"/>
                <w:lang w:eastAsia="zh-CN"/>
              </w:rPr>
              <w:t>”引入社会资本</w:t>
            </w:r>
            <w:r>
              <w:rPr>
                <w:rFonts w:hint="eastAsia" w:ascii="仿宋_GB2312" w:hAnsi="仿宋_GB2312" w:eastAsia="仿宋_GB2312" w:cs="仿宋_GB2312"/>
                <w:color w:val="000000"/>
                <w:kern w:val="0"/>
                <w:sz w:val="24"/>
                <w:szCs w:val="24"/>
                <w:lang w:val="en-US" w:eastAsia="zh-CN"/>
              </w:rPr>
              <w:t>对老旧小区</w:t>
            </w:r>
            <w:r>
              <w:rPr>
                <w:rFonts w:hint="eastAsia" w:ascii="仿宋_GB2312" w:hAnsi="仿宋_GB2312" w:eastAsia="仿宋_GB2312" w:cs="仿宋_GB2312"/>
                <w:color w:val="000000"/>
                <w:kern w:val="0"/>
                <w:sz w:val="24"/>
                <w:szCs w:val="24"/>
                <w:lang w:eastAsia="zh-CN"/>
              </w:rPr>
              <w:t>“面子</w:t>
            </w:r>
            <w:r>
              <w:rPr>
                <w:rFonts w:hint="eastAsia" w:ascii="仿宋_GB2312" w:hAnsi="仿宋_GB2312" w:eastAsia="仿宋_GB2312" w:cs="仿宋_GB2312"/>
                <w:color w:val="000000"/>
                <w:kern w:val="0"/>
                <w:sz w:val="24"/>
                <w:szCs w:val="24"/>
                <w:lang w:val="en-US" w:eastAsia="zh-CN"/>
              </w:rPr>
              <w:t>+里子”“硬件+软件”一揽子改造，增加养老服务驿站、社区食堂等适老化设施，新建立体停车设施缓解停车难问题；“一本账统筹”</w:t>
            </w:r>
            <w:r>
              <w:rPr>
                <w:rFonts w:hint="eastAsia" w:ascii="仿宋_GB2312" w:hAnsi="仿宋_GB2312" w:eastAsia="仿宋_GB2312" w:cs="仿宋_GB2312"/>
                <w:color w:val="000000"/>
                <w:kern w:val="0"/>
                <w:sz w:val="24"/>
                <w:szCs w:val="24"/>
                <w:lang w:eastAsia="zh-CN"/>
              </w:rPr>
              <w:t>小区内停车、配套空间运营、广告、社区运营增</w:t>
            </w:r>
            <w:r>
              <w:rPr>
                <w:rFonts w:hint="eastAsia" w:ascii="仿宋_GB2312" w:hAnsi="仿宋_GB2312" w:eastAsia="仿宋_GB2312" w:cs="仿宋_GB2312"/>
                <w:color w:val="000000"/>
                <w:kern w:val="0"/>
                <w:sz w:val="24"/>
                <w:szCs w:val="24"/>
                <w:highlight w:val="none"/>
                <w:lang w:eastAsia="zh-CN"/>
              </w:rPr>
              <w:t>值服务收益及施工利润，确保社会资本微利可持续，实现</w:t>
            </w:r>
            <w:r>
              <w:rPr>
                <w:rFonts w:hint="eastAsia" w:ascii="仿宋_GB2312" w:hAnsi="仿宋_GB2312" w:eastAsia="仿宋_GB2312" w:cs="仿宋_GB2312"/>
                <w:color w:val="000000"/>
                <w:kern w:val="0"/>
                <w:sz w:val="24"/>
                <w:szCs w:val="24"/>
                <w:highlight w:val="none"/>
              </w:rPr>
              <w:t>工程改造、物业管理、社区治理</w:t>
            </w:r>
            <w:r>
              <w:rPr>
                <w:rFonts w:hint="eastAsia" w:ascii="仿宋_GB2312" w:hAnsi="仿宋_GB2312" w:eastAsia="仿宋_GB2312" w:cs="仿宋_GB2312"/>
                <w:color w:val="000000"/>
                <w:kern w:val="0"/>
                <w:sz w:val="24"/>
                <w:szCs w:val="24"/>
                <w:highlight w:val="none"/>
                <w:lang w:val="en-US" w:eastAsia="zh-CN"/>
              </w:rPr>
              <w:t>“</w:t>
            </w:r>
            <w:r>
              <w:rPr>
                <w:rFonts w:hint="eastAsia" w:ascii="仿宋_GB2312" w:hAnsi="仿宋_GB2312" w:eastAsia="仿宋_GB2312" w:cs="仿宋_GB2312"/>
                <w:b w:val="0"/>
                <w:bCs w:val="0"/>
                <w:color w:val="000000"/>
                <w:kern w:val="0"/>
                <w:sz w:val="24"/>
                <w:szCs w:val="24"/>
                <w:highlight w:val="none"/>
                <w:lang w:val="en-US" w:eastAsia="zh-CN"/>
              </w:rPr>
              <w:t>一盘棋治理”，确保改造工作“一张蓝图绘到底”。</w:t>
            </w:r>
          </w:p>
          <w:p>
            <w:pPr>
              <w:keepNext w:val="0"/>
              <w:keepLines w:val="0"/>
              <w:pageBreakBefore w:val="0"/>
              <w:kinsoku/>
              <w:wordWrap/>
              <w:overflowPunct/>
              <w:topLinePunct w:val="0"/>
              <w:autoSpaceDE/>
              <w:autoSpaceDN/>
              <w:bidi w:val="0"/>
              <w:adjustRightInd/>
              <w:snapToGrid/>
              <w:spacing w:line="320" w:lineRule="exact"/>
              <w:ind w:firstLine="481" w:firstLineChars="0"/>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2.福建省</w:t>
            </w:r>
            <w:r>
              <w:rPr>
                <w:rFonts w:hint="eastAsia" w:ascii="仿宋_GB2312" w:hAnsi="仿宋_GB2312" w:eastAsia="仿宋_GB2312" w:cs="仿宋_GB2312"/>
                <w:b w:val="0"/>
                <w:bCs w:val="0"/>
                <w:color w:val="000000"/>
                <w:kern w:val="0"/>
                <w:sz w:val="24"/>
                <w:szCs w:val="24"/>
                <w:lang w:val="en-US" w:eastAsia="zh-CN"/>
              </w:rPr>
              <w:t>福州市积极培育规模化运营实施主体，探索由实施运营主体实施老旧小区改造项目，为金融机构提供清晰明确的支持对象。鼓楼区区属国企与福州工业园区集团有限公司成立项目公司，灵活运用金融工具，争取国开行福建分行项目贷款5亿元。引进社会资本通过“投融资+建设+运营”模式，有效盘活闲置资产作为前期投融资来源，将运营管理期延长至25年，通过物流快递设施、停车场、道闸广告栏等公共基础设施配套运营收益收回投资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55" w:type="dxa"/>
            <w:vMerge w:val="continue"/>
            <w:noWrap w:val="0"/>
            <w:vAlign w:val="top"/>
          </w:tcPr>
          <w:p>
            <w:pPr>
              <w:spacing w:line="320" w:lineRule="exact"/>
              <w:jc w:val="left"/>
              <w:rPr>
                <w:rFonts w:hint="eastAsia" w:ascii="黑体" w:hAnsi="黑体" w:eastAsia="黑体" w:cs="黑体"/>
                <w:sz w:val="24"/>
                <w:szCs w:val="24"/>
              </w:rPr>
            </w:pPr>
          </w:p>
        </w:tc>
        <w:tc>
          <w:tcPr>
            <w:tcW w:w="964" w:type="dxa"/>
            <w:vMerge w:val="continue"/>
            <w:noWrap w:val="0"/>
            <w:vAlign w:val="center"/>
          </w:tcPr>
          <w:p>
            <w:pPr>
              <w:spacing w:line="320" w:lineRule="exact"/>
              <w:jc w:val="center"/>
              <w:rPr>
                <w:rFonts w:hint="eastAsia" w:ascii="黑体" w:hAnsi="黑体" w:eastAsia="黑体" w:cs="黑体"/>
                <w:sz w:val="24"/>
                <w:szCs w:val="24"/>
              </w:rPr>
            </w:pPr>
          </w:p>
        </w:tc>
        <w:tc>
          <w:tcPr>
            <w:tcW w:w="1366" w:type="dxa"/>
            <w:noWrap w:val="0"/>
            <w:vAlign w:val="center"/>
          </w:tcPr>
          <w:p>
            <w:pPr>
              <w:pStyle w:val="8"/>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color w:val="auto"/>
                <w:sz w:val="24"/>
                <w:szCs w:val="24"/>
                <w:lang w:bidi="zh-CN"/>
              </w:rPr>
              <w:t>（二）落实管线专营单位责任</w:t>
            </w:r>
          </w:p>
        </w:tc>
        <w:tc>
          <w:tcPr>
            <w:tcW w:w="1089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80" w:firstLineChars="200"/>
              <w:jc w:val="left"/>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lang w:eastAsia="zh-CN"/>
              </w:rPr>
              <w:t>河北省保定市</w:t>
            </w:r>
            <w:r>
              <w:rPr>
                <w:rFonts w:hint="eastAsia" w:ascii="仿宋_GB2312" w:hAnsi="仿宋_GB2312" w:eastAsia="仿宋_GB2312" w:cs="仿宋_GB2312"/>
                <w:color w:val="000000"/>
                <w:kern w:val="0"/>
                <w:sz w:val="24"/>
                <w:szCs w:val="24"/>
                <w:lang w:val="en-US" w:eastAsia="zh-CN"/>
              </w:rPr>
              <w:t>组建水暖电气信改造工作专班集中办公，统筹老旧小区改造与专营设施协同改造，协调专营单位同步制定、同步实施相关专项设施改造增设计划，明确各专营设施出资责任，由政府负责管道开挖回填等土建费用，专营单位负责管线设施迁移更换；2022</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lang w:eastAsia="zh-CN"/>
              </w:rPr>
              <w:t>全市改造投入资金</w:t>
            </w:r>
            <w:r>
              <w:rPr>
                <w:rFonts w:hint="eastAsia" w:ascii="仿宋_GB2312" w:hAnsi="仿宋_GB2312" w:eastAsia="仿宋_GB2312" w:cs="仿宋_GB2312"/>
                <w:color w:val="000000"/>
                <w:kern w:val="0"/>
                <w:sz w:val="24"/>
                <w:szCs w:val="24"/>
                <w:lang w:val="en-US" w:eastAsia="zh-CN"/>
              </w:rPr>
              <w:t>20.57亿元，其中</w:t>
            </w:r>
            <w:r>
              <w:rPr>
                <w:rFonts w:hint="eastAsia" w:ascii="仿宋_GB2312" w:hAnsi="仿宋_GB2312" w:eastAsia="仿宋_GB2312" w:cs="仿宋_GB2312"/>
                <w:color w:val="000000"/>
                <w:kern w:val="0"/>
                <w:sz w:val="24"/>
                <w:szCs w:val="24"/>
              </w:rPr>
              <w:t>各管线专营单位</w:t>
            </w:r>
            <w:r>
              <w:rPr>
                <w:rFonts w:hint="eastAsia" w:ascii="仿宋_GB2312" w:hAnsi="仿宋_GB2312" w:eastAsia="仿宋_GB2312" w:cs="仿宋_GB2312"/>
                <w:color w:val="000000"/>
                <w:kern w:val="0"/>
                <w:sz w:val="24"/>
                <w:szCs w:val="24"/>
                <w:lang w:eastAsia="zh-CN"/>
              </w:rPr>
              <w:t>共</w:t>
            </w:r>
            <w:r>
              <w:rPr>
                <w:rFonts w:hint="eastAsia" w:ascii="仿宋_GB2312" w:hAnsi="仿宋_GB2312" w:eastAsia="仿宋_GB2312" w:cs="仿宋_GB2312"/>
                <w:color w:val="000000"/>
                <w:kern w:val="0"/>
                <w:sz w:val="24"/>
                <w:szCs w:val="24"/>
              </w:rPr>
              <w:t>出资</w:t>
            </w:r>
            <w:r>
              <w:rPr>
                <w:rFonts w:hint="eastAsia" w:ascii="仿宋_GB2312" w:hAnsi="仿宋_GB2312" w:eastAsia="仿宋_GB2312" w:cs="仿宋_GB2312"/>
                <w:color w:val="000000"/>
                <w:kern w:val="0"/>
                <w:sz w:val="24"/>
                <w:szCs w:val="24"/>
                <w:lang w:val="en-US" w:eastAsia="zh-CN"/>
              </w:rPr>
              <w:t>7.55亿</w:t>
            </w:r>
            <w:r>
              <w:rPr>
                <w:rFonts w:hint="eastAsia" w:ascii="仿宋_GB2312" w:hAnsi="仿宋_GB2312" w:eastAsia="仿宋_GB2312" w:cs="仿宋_GB2312"/>
                <w:color w:val="000000"/>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重庆市采取单位改造、合作出资、以奖代补、税费减免、合作申报等方式，引导管线专营单位履行出资责任。</w:t>
            </w:r>
            <w:r>
              <w:rPr>
                <w:rFonts w:hint="eastAsia" w:ascii="仿宋_GB2312" w:hAnsi="仿宋_GB2312" w:eastAsia="仿宋_GB2312" w:cs="仿宋_GB2312"/>
                <w:color w:val="000000"/>
                <w:kern w:val="0"/>
                <w:sz w:val="24"/>
                <w:szCs w:val="24"/>
                <w:lang w:eastAsia="zh-CN"/>
              </w:rPr>
              <w:t>例</w:t>
            </w:r>
            <w:r>
              <w:rPr>
                <w:rFonts w:hint="eastAsia" w:ascii="仿宋_GB2312" w:hAnsi="仿宋_GB2312" w:eastAsia="仿宋_GB2312" w:cs="仿宋_GB2312"/>
                <w:color w:val="000000"/>
                <w:kern w:val="0"/>
                <w:sz w:val="24"/>
                <w:szCs w:val="24"/>
              </w:rPr>
              <w:t>如</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永川区北山片区改造中，协调管线单位参与改造前现场踏勘、排查管网老化情况，出资参与片区燃气、供水、架空线等管线改造升级；2022年专营单位出资约5000万元，用于改造老旧小区水电气信等内容。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455" w:type="dxa"/>
            <w:vMerge w:val="continue"/>
            <w:noWrap w:val="0"/>
            <w:vAlign w:val="top"/>
          </w:tcPr>
          <w:p>
            <w:pPr>
              <w:spacing w:line="320" w:lineRule="exact"/>
              <w:jc w:val="left"/>
              <w:rPr>
                <w:rFonts w:hint="eastAsia" w:ascii="黑体" w:hAnsi="黑体" w:eastAsia="黑体" w:cs="黑体"/>
                <w:sz w:val="24"/>
                <w:szCs w:val="24"/>
              </w:rPr>
            </w:pPr>
          </w:p>
        </w:tc>
        <w:tc>
          <w:tcPr>
            <w:tcW w:w="964" w:type="dxa"/>
            <w:vMerge w:val="continue"/>
            <w:noWrap w:val="0"/>
            <w:vAlign w:val="center"/>
          </w:tcPr>
          <w:p>
            <w:pPr>
              <w:spacing w:line="320" w:lineRule="exact"/>
              <w:jc w:val="center"/>
              <w:rPr>
                <w:rFonts w:hint="eastAsia" w:ascii="黑体" w:hAnsi="黑体" w:eastAsia="黑体" w:cs="黑体"/>
                <w:sz w:val="24"/>
                <w:szCs w:val="24"/>
              </w:rPr>
            </w:pPr>
          </w:p>
        </w:tc>
        <w:tc>
          <w:tcPr>
            <w:tcW w:w="1366" w:type="dxa"/>
            <w:noWrap w:val="0"/>
            <w:vAlign w:val="center"/>
          </w:tcPr>
          <w:p>
            <w:pPr>
              <w:pStyle w:val="8"/>
              <w:spacing w:line="320" w:lineRule="exact"/>
              <w:ind w:left="0" w:leftChars="0" w:firstLine="0" w:firstLineChars="0"/>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color w:val="auto"/>
                <w:sz w:val="24"/>
                <w:szCs w:val="24"/>
                <w:lang w:bidi="zh-CN"/>
              </w:rPr>
              <w:t>（三）引导小区居民出资</w:t>
            </w:r>
          </w:p>
        </w:tc>
        <w:tc>
          <w:tcPr>
            <w:tcW w:w="1089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80" w:firstLineChars="200"/>
              <w:jc w:val="left"/>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lang w:eastAsia="zh-CN"/>
              </w:rPr>
              <w:t>山东省青岛市</w:t>
            </w:r>
            <w:r>
              <w:rPr>
                <w:rFonts w:hint="eastAsia" w:ascii="仿宋_GB2312" w:hAnsi="仿宋_GB2312" w:eastAsia="仿宋_GB2312" w:cs="仿宋_GB2312"/>
                <w:color w:val="000000"/>
                <w:kern w:val="0"/>
                <w:sz w:val="24"/>
                <w:szCs w:val="24"/>
              </w:rPr>
              <w:t>按照“谁受益、谁出资”原则</w:t>
            </w:r>
            <w:r>
              <w:rPr>
                <w:rFonts w:hint="eastAsia" w:ascii="仿宋_GB2312" w:hAnsi="仿宋_GB2312" w:eastAsia="仿宋_GB2312" w:cs="仿宋_GB2312"/>
                <w:color w:val="000000"/>
                <w:kern w:val="0"/>
                <w:sz w:val="24"/>
                <w:szCs w:val="24"/>
                <w:lang w:eastAsia="zh-CN"/>
              </w:rPr>
              <w:t>落实居民出资责任，</w:t>
            </w:r>
            <w:r>
              <w:rPr>
                <w:rFonts w:hint="eastAsia" w:ascii="仿宋_GB2312" w:hAnsi="仿宋_GB2312" w:eastAsia="仿宋_GB2312" w:cs="仿宋_GB2312"/>
                <w:color w:val="000000"/>
                <w:kern w:val="0"/>
                <w:sz w:val="24"/>
                <w:szCs w:val="24"/>
                <w:lang w:eastAsia="zh-Hans"/>
              </w:rPr>
              <w:t>202</w:t>
            </w: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eastAsia="zh-Hans"/>
              </w:rPr>
              <w:t>年</w:t>
            </w:r>
            <w:r>
              <w:rPr>
                <w:rFonts w:hint="eastAsia" w:ascii="仿宋_GB2312" w:hAnsi="仿宋_GB2312" w:eastAsia="仿宋_GB2312" w:cs="仿宋_GB2312"/>
                <w:color w:val="000000"/>
                <w:kern w:val="0"/>
                <w:sz w:val="24"/>
                <w:szCs w:val="24"/>
                <w:lang w:eastAsia="zh-CN"/>
              </w:rPr>
              <w:t>全市</w:t>
            </w:r>
            <w:r>
              <w:rPr>
                <w:rFonts w:hint="eastAsia" w:ascii="仿宋_GB2312" w:hAnsi="仿宋_GB2312" w:eastAsia="仿宋_GB2312" w:cs="仿宋_GB2312"/>
                <w:color w:val="000000"/>
                <w:kern w:val="0"/>
                <w:sz w:val="24"/>
                <w:szCs w:val="24"/>
              </w:rPr>
              <w:t>居民出资5000余万元</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参与小区公共区域改造及户内家具家电购置、装修等</w:t>
            </w:r>
            <w:r>
              <w:rPr>
                <w:rFonts w:hint="eastAsia" w:ascii="仿宋_GB2312" w:hAnsi="仿宋_GB2312" w:eastAsia="仿宋_GB2312" w:cs="仿宋_GB2312"/>
                <w:color w:val="000000"/>
                <w:kern w:val="0"/>
                <w:sz w:val="24"/>
                <w:szCs w:val="24"/>
                <w:lang w:eastAsia="zh-CN"/>
              </w:rPr>
              <w:t>。例如：</w:t>
            </w:r>
            <w:r>
              <w:rPr>
                <w:rFonts w:hint="eastAsia" w:ascii="仿宋_GB2312" w:hAnsi="仿宋_GB2312" w:eastAsia="仿宋_GB2312" w:cs="仿宋_GB2312"/>
                <w:color w:val="000000"/>
                <w:kern w:val="0"/>
                <w:sz w:val="24"/>
                <w:szCs w:val="24"/>
                <w:lang w:val="en-US" w:eastAsia="zh-CN"/>
              </w:rPr>
              <w:t>胶州市实施改造小区居民更换空调1300余台，安装电热水器9000余台。</w:t>
            </w:r>
            <w:r>
              <w:rPr>
                <w:rFonts w:hint="eastAsia" w:ascii="仿宋_GB2312" w:hAnsi="仿宋_GB2312" w:eastAsia="仿宋_GB2312" w:cs="仿宋_GB2312"/>
                <w:color w:val="000000"/>
                <w:kern w:val="0"/>
                <w:sz w:val="24"/>
                <w:szCs w:val="24"/>
              </w:rPr>
              <w:t>西海岸新区将居民出资与改造标准挂钩，围绕参与率、支持率、出资率、物业覆盖率等指标竞争选定优先改造小区，引导居民出资410万元。平度市</w:t>
            </w:r>
            <w:r>
              <w:rPr>
                <w:rFonts w:hint="eastAsia" w:ascii="仿宋_GB2312" w:hAnsi="仿宋_GB2312" w:eastAsia="仿宋_GB2312" w:cs="仿宋_GB2312"/>
                <w:color w:val="000000"/>
                <w:kern w:val="0"/>
                <w:sz w:val="24"/>
                <w:szCs w:val="24"/>
                <w:lang w:eastAsia="zh-CN"/>
              </w:rPr>
              <w:t>引导</w:t>
            </w:r>
            <w:r>
              <w:rPr>
                <w:rFonts w:hint="eastAsia" w:ascii="仿宋_GB2312" w:hAnsi="仿宋_GB2312" w:eastAsia="仿宋_GB2312" w:cs="仿宋_GB2312"/>
                <w:color w:val="000000"/>
                <w:kern w:val="0"/>
                <w:sz w:val="24"/>
                <w:szCs w:val="24"/>
              </w:rPr>
              <w:t>居民按照建筑面积每平方米10元标准出资参与外墙保温改造。</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80" w:firstLineChars="200"/>
              <w:jc w:val="left"/>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lang w:eastAsia="zh-CN"/>
              </w:rPr>
              <w:t>重庆市</w:t>
            </w:r>
            <w:r>
              <w:rPr>
                <w:rFonts w:hint="eastAsia" w:ascii="仿宋_GB2312" w:hAnsi="仿宋_GB2312" w:eastAsia="仿宋_GB2312" w:cs="仿宋_GB2312"/>
                <w:color w:val="000000"/>
                <w:kern w:val="0"/>
                <w:sz w:val="24"/>
                <w:szCs w:val="24"/>
              </w:rPr>
              <w:t>永川区引导居民通过直接出资、提取住房公积金、使用住宅专项维修</w:t>
            </w:r>
            <w:r>
              <w:rPr>
                <w:rFonts w:hint="eastAsia" w:ascii="仿宋_GB2312" w:hAnsi="仿宋_GB2312" w:eastAsia="仿宋_GB2312" w:cs="仿宋_GB2312"/>
                <w:color w:val="000000"/>
                <w:kern w:val="0"/>
                <w:sz w:val="24"/>
                <w:szCs w:val="24"/>
                <w:lang w:val="en-US" w:eastAsia="zh-CN"/>
              </w:rPr>
              <w:t>资金</w:t>
            </w:r>
            <w:r>
              <w:rPr>
                <w:rFonts w:hint="eastAsia" w:ascii="仿宋_GB2312" w:hAnsi="仿宋_GB2312" w:eastAsia="仿宋_GB2312" w:cs="仿宋_GB2312"/>
                <w:color w:val="000000"/>
                <w:kern w:val="0"/>
                <w:sz w:val="24"/>
                <w:szCs w:val="24"/>
              </w:rPr>
              <w:t>等方式参与</w:t>
            </w:r>
            <w:r>
              <w:rPr>
                <w:rFonts w:hint="eastAsia" w:ascii="仿宋_GB2312" w:hAnsi="仿宋_GB2312" w:eastAsia="仿宋_GB2312" w:cs="仿宋_GB2312"/>
                <w:color w:val="000000"/>
                <w:kern w:val="0"/>
                <w:sz w:val="24"/>
                <w:szCs w:val="24"/>
                <w:lang w:eastAsia="zh-CN"/>
              </w:rPr>
              <w:t>户外户内</w:t>
            </w:r>
            <w:r>
              <w:rPr>
                <w:rFonts w:hint="eastAsia" w:ascii="仿宋_GB2312" w:hAnsi="仿宋_GB2312" w:eastAsia="仿宋_GB2312" w:cs="仿宋_GB2312"/>
                <w:color w:val="000000"/>
                <w:kern w:val="0"/>
                <w:sz w:val="24"/>
                <w:szCs w:val="24"/>
              </w:rPr>
              <w:t>改造。</w:t>
            </w:r>
            <w:r>
              <w:rPr>
                <w:rFonts w:hint="eastAsia" w:ascii="仿宋_GB2312" w:hAnsi="仿宋_GB2312" w:eastAsia="仿宋_GB2312" w:cs="仿宋_GB2312"/>
                <w:color w:val="000000"/>
                <w:kern w:val="0"/>
                <w:sz w:val="24"/>
                <w:szCs w:val="24"/>
                <w:lang w:eastAsia="zh-CN"/>
              </w:rPr>
              <w:t>例如：</w:t>
            </w:r>
            <w:r>
              <w:rPr>
                <w:rFonts w:hint="eastAsia" w:ascii="仿宋_GB2312" w:hAnsi="仿宋_GB2312" w:eastAsia="仿宋_GB2312" w:cs="仿宋_GB2312"/>
                <w:color w:val="000000"/>
                <w:kern w:val="0"/>
                <w:sz w:val="24"/>
                <w:szCs w:val="24"/>
              </w:rPr>
              <w:t>石油汇碧苑片区改造项目居民出资210万元</w:t>
            </w:r>
            <w:r>
              <w:rPr>
                <w:rFonts w:hint="eastAsia" w:ascii="仿宋_GB2312" w:hAnsi="仿宋_GB2312" w:eastAsia="仿宋_GB2312" w:cs="仿宋_GB2312"/>
                <w:color w:val="000000"/>
                <w:kern w:val="0"/>
                <w:sz w:val="24"/>
                <w:szCs w:val="24"/>
                <w:lang w:eastAsia="zh-CN"/>
              </w:rPr>
              <w:t>用于</w:t>
            </w:r>
            <w:r>
              <w:rPr>
                <w:rFonts w:hint="eastAsia" w:ascii="仿宋_GB2312" w:hAnsi="仿宋_GB2312" w:eastAsia="仿宋_GB2312" w:cs="仿宋_GB2312"/>
                <w:color w:val="000000"/>
                <w:kern w:val="0"/>
                <w:sz w:val="24"/>
                <w:szCs w:val="24"/>
              </w:rPr>
              <w:t>加装6部电梯，</w:t>
            </w:r>
            <w:r>
              <w:rPr>
                <w:rFonts w:hint="eastAsia" w:ascii="仿宋_GB2312" w:hAnsi="仿宋_GB2312" w:eastAsia="仿宋_GB2312" w:cs="仿宋_GB2312"/>
                <w:color w:val="000000"/>
                <w:kern w:val="0"/>
                <w:sz w:val="24"/>
                <w:szCs w:val="24"/>
                <w:lang w:eastAsia="zh-CN"/>
              </w:rPr>
              <w:t>禹泊苑项目居民提取住房公积金</w:t>
            </w:r>
            <w:r>
              <w:rPr>
                <w:rFonts w:hint="eastAsia" w:ascii="仿宋_GB2312" w:hAnsi="仿宋_GB2312" w:eastAsia="仿宋_GB2312" w:cs="仿宋_GB2312"/>
                <w:color w:val="000000"/>
                <w:kern w:val="0"/>
                <w:sz w:val="24"/>
                <w:szCs w:val="24"/>
                <w:lang w:val="en-US" w:eastAsia="zh-CN"/>
              </w:rPr>
              <w:t>20万元用于加装电梯，</w:t>
            </w:r>
            <w:r>
              <w:rPr>
                <w:rFonts w:hint="eastAsia" w:ascii="仿宋_GB2312" w:hAnsi="仿宋_GB2312" w:eastAsia="仿宋_GB2312" w:cs="仿宋_GB2312"/>
                <w:color w:val="000000"/>
                <w:kern w:val="0"/>
                <w:sz w:val="24"/>
                <w:szCs w:val="24"/>
              </w:rPr>
              <w:t>萱花新苑</w:t>
            </w:r>
            <w:r>
              <w:rPr>
                <w:rFonts w:hint="eastAsia" w:ascii="仿宋_GB2312" w:hAnsi="仿宋_GB2312" w:eastAsia="仿宋_GB2312" w:cs="仿宋_GB2312"/>
                <w:color w:val="000000"/>
                <w:kern w:val="0"/>
                <w:sz w:val="24"/>
                <w:szCs w:val="24"/>
                <w:lang w:eastAsia="zh-CN"/>
              </w:rPr>
              <w:t>小区</w:t>
            </w:r>
            <w:r>
              <w:rPr>
                <w:rFonts w:hint="eastAsia" w:ascii="仿宋_GB2312" w:hAnsi="仿宋_GB2312" w:eastAsia="仿宋_GB2312" w:cs="仿宋_GB2312"/>
                <w:color w:val="000000"/>
                <w:kern w:val="0"/>
                <w:sz w:val="24"/>
                <w:szCs w:val="24"/>
              </w:rPr>
              <w:t>外墙渗水维修使用住宅专项维修</w:t>
            </w:r>
            <w:r>
              <w:rPr>
                <w:rFonts w:hint="eastAsia" w:ascii="仿宋_GB2312" w:hAnsi="仿宋_GB2312" w:eastAsia="仿宋_GB2312" w:cs="仿宋_GB2312"/>
                <w:color w:val="000000"/>
                <w:kern w:val="0"/>
                <w:sz w:val="24"/>
                <w:szCs w:val="24"/>
                <w:lang w:eastAsia="zh-CN"/>
              </w:rPr>
              <w:t>资</w:t>
            </w:r>
            <w:r>
              <w:rPr>
                <w:rFonts w:hint="eastAsia" w:ascii="仿宋_GB2312" w:hAnsi="仿宋_GB2312" w:eastAsia="仿宋_GB2312" w:cs="仿宋_GB2312"/>
                <w:color w:val="000000"/>
                <w:kern w:val="0"/>
                <w:sz w:val="24"/>
                <w:szCs w:val="24"/>
              </w:rPr>
              <w:t>金约9万元。</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lang w:eastAsia="zh-CN"/>
              </w:rPr>
              <w:t>福建省福州市</w:t>
            </w:r>
            <w:r>
              <w:rPr>
                <w:rFonts w:hint="eastAsia" w:ascii="仿宋_GB2312" w:hAnsi="仿宋_GB2312" w:eastAsia="仿宋_GB2312" w:cs="仿宋_GB2312"/>
                <w:color w:val="000000"/>
                <w:kern w:val="0"/>
                <w:sz w:val="24"/>
                <w:szCs w:val="24"/>
              </w:rPr>
              <w:t>鼓楼区设立老旧小区共建基金</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由小区全体业主</w:t>
            </w:r>
            <w:r>
              <w:rPr>
                <w:rFonts w:hint="eastAsia" w:ascii="仿宋_GB2312" w:hAnsi="仿宋_GB2312" w:eastAsia="仿宋_GB2312" w:cs="仿宋_GB2312"/>
                <w:color w:val="000000"/>
                <w:kern w:val="0"/>
                <w:sz w:val="24"/>
                <w:szCs w:val="24"/>
                <w:lang w:eastAsia="zh-CN"/>
              </w:rPr>
              <w:t>按房屋面积</w:t>
            </w:r>
            <w:r>
              <w:rPr>
                <w:rFonts w:hint="eastAsia" w:ascii="仿宋_GB2312" w:hAnsi="仿宋_GB2312" w:eastAsia="仿宋_GB2312" w:cs="仿宋_GB2312"/>
                <w:color w:val="000000"/>
                <w:kern w:val="0"/>
                <w:sz w:val="24"/>
                <w:szCs w:val="24"/>
              </w:rPr>
              <w:t>每平方米最低5元的标准一次性缴存，</w:t>
            </w:r>
            <w:r>
              <w:rPr>
                <w:rFonts w:hint="eastAsia" w:ascii="仿宋_GB2312" w:hAnsi="仿宋_GB2312" w:eastAsia="仿宋_GB2312" w:cs="仿宋_GB2312"/>
                <w:color w:val="000000"/>
                <w:kern w:val="0"/>
                <w:sz w:val="24"/>
                <w:szCs w:val="24"/>
                <w:lang w:eastAsia="zh-CN"/>
              </w:rPr>
              <w:t>作为改造工程质保到期后维护费用</w:t>
            </w:r>
            <w:r>
              <w:rPr>
                <w:rFonts w:hint="eastAsia" w:ascii="仿宋_GB2312" w:hAnsi="仿宋_GB2312" w:eastAsia="仿宋_GB2312" w:cs="仿宋_GB2312"/>
                <w:color w:val="000000"/>
                <w:kern w:val="0"/>
                <w:sz w:val="24"/>
                <w:szCs w:val="24"/>
              </w:rPr>
              <w:t>，资金使用、收益管理公开透明</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接受小区业主监督</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截至目前，鼓楼区2022年改造的230个小区</w:t>
            </w:r>
            <w:r>
              <w:rPr>
                <w:rFonts w:hint="eastAsia" w:ascii="仿宋_GB2312" w:hAnsi="仿宋_GB2312" w:eastAsia="仿宋_GB2312" w:cs="仿宋_GB2312"/>
                <w:color w:val="000000"/>
                <w:kern w:val="0"/>
                <w:sz w:val="24"/>
                <w:szCs w:val="24"/>
                <w:lang w:eastAsia="zh-CN"/>
              </w:rPr>
              <w:t>中已有</w:t>
            </w:r>
            <w:r>
              <w:rPr>
                <w:rFonts w:hint="eastAsia" w:ascii="仿宋_GB2312" w:hAnsi="仿宋_GB2312" w:eastAsia="仿宋_GB2312" w:cs="仿宋_GB2312"/>
                <w:color w:val="000000"/>
                <w:kern w:val="0"/>
                <w:sz w:val="24"/>
                <w:szCs w:val="24"/>
              </w:rPr>
              <w:t>204个小区100%完成收缴，缴费率达96.32%</w:t>
            </w:r>
            <w:r>
              <w:rPr>
                <w:rFonts w:hint="eastAsia" w:ascii="仿宋_GB2312" w:hAnsi="仿宋_GB2312" w:eastAsia="仿宋_GB2312" w:cs="仿宋_GB2312"/>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455" w:type="dxa"/>
            <w:vMerge w:val="restart"/>
            <w:noWrap w:val="0"/>
            <w:vAlign w:val="center"/>
          </w:tcPr>
          <w:p>
            <w:pPr>
              <w:spacing w:line="320" w:lineRule="exact"/>
              <w:jc w:val="center"/>
              <w:rPr>
                <w:rFonts w:hint="eastAsia" w:ascii="黑体" w:hAnsi="黑体" w:eastAsia="黑体" w:cs="黑体"/>
                <w:sz w:val="24"/>
                <w:szCs w:val="24"/>
              </w:rPr>
            </w:pPr>
          </w:p>
          <w:p>
            <w:pPr>
              <w:spacing w:line="320" w:lineRule="exact"/>
              <w:jc w:val="center"/>
              <w:rPr>
                <w:rFonts w:hint="eastAsia" w:ascii="黑体" w:hAnsi="黑体" w:eastAsia="黑体" w:cs="黑体"/>
                <w:sz w:val="24"/>
                <w:szCs w:val="24"/>
              </w:rPr>
            </w:pPr>
          </w:p>
          <w:p>
            <w:pPr>
              <w:spacing w:line="320" w:lineRule="exact"/>
              <w:jc w:val="center"/>
              <w:rPr>
                <w:rFonts w:hint="eastAsia" w:ascii="黑体" w:hAnsi="黑体" w:eastAsia="黑体" w:cs="黑体"/>
                <w:sz w:val="24"/>
                <w:szCs w:val="24"/>
              </w:rPr>
            </w:pPr>
          </w:p>
          <w:p>
            <w:pPr>
              <w:spacing w:line="320" w:lineRule="exact"/>
              <w:jc w:val="center"/>
              <w:rPr>
                <w:rFonts w:hint="eastAsia" w:ascii="黑体" w:hAnsi="黑体" w:eastAsia="黑体" w:cs="黑体"/>
                <w:sz w:val="24"/>
                <w:szCs w:val="24"/>
              </w:rPr>
            </w:pPr>
          </w:p>
          <w:p>
            <w:pPr>
              <w:spacing w:line="320" w:lineRule="exact"/>
              <w:jc w:val="center"/>
              <w:rPr>
                <w:rFonts w:hint="eastAsia" w:ascii="黑体" w:hAnsi="黑体" w:eastAsia="黑体" w:cs="黑体"/>
                <w:sz w:val="24"/>
                <w:szCs w:val="24"/>
              </w:rPr>
            </w:pPr>
          </w:p>
          <w:p>
            <w:pPr>
              <w:spacing w:line="320" w:lineRule="exact"/>
              <w:jc w:val="center"/>
              <w:rPr>
                <w:rFonts w:hint="eastAsia" w:ascii="黑体" w:hAnsi="黑体" w:eastAsia="黑体" w:cs="黑体"/>
                <w:sz w:val="24"/>
                <w:szCs w:val="24"/>
              </w:rPr>
            </w:pPr>
          </w:p>
          <w:p>
            <w:pPr>
              <w:spacing w:line="320" w:lineRule="exact"/>
              <w:jc w:val="center"/>
              <w:rPr>
                <w:rFonts w:hint="eastAsia" w:ascii="黑体" w:hAnsi="黑体" w:eastAsia="黑体" w:cs="黑体"/>
                <w:sz w:val="24"/>
                <w:szCs w:val="24"/>
              </w:rPr>
            </w:pPr>
          </w:p>
          <w:p>
            <w:pPr>
              <w:pStyle w:val="2"/>
              <w:rPr>
                <w:rFonts w:hint="eastAsia" w:ascii="黑体" w:hAnsi="黑体" w:eastAsia="黑体" w:cs="黑体"/>
                <w:sz w:val="24"/>
                <w:szCs w:val="24"/>
              </w:rPr>
            </w:pPr>
          </w:p>
          <w:p>
            <w:pPr>
              <w:rPr>
                <w:rFonts w:hint="eastAsia" w:ascii="黑体" w:hAnsi="黑体" w:eastAsia="黑体" w:cs="黑体"/>
                <w:sz w:val="24"/>
                <w:szCs w:val="24"/>
              </w:rPr>
            </w:pPr>
          </w:p>
          <w:p>
            <w:pPr>
              <w:pStyle w:val="2"/>
              <w:rPr>
                <w:rFonts w:hint="eastAsia"/>
              </w:rPr>
            </w:pPr>
          </w:p>
          <w:p>
            <w:pPr>
              <w:spacing w:line="320" w:lineRule="exact"/>
              <w:jc w:val="center"/>
              <w:rPr>
                <w:rFonts w:hint="eastAsia" w:ascii="黑体" w:hAnsi="黑体" w:eastAsia="黑体" w:cs="黑体"/>
                <w:sz w:val="24"/>
                <w:szCs w:val="24"/>
              </w:rPr>
            </w:pPr>
          </w:p>
          <w:p>
            <w:pPr>
              <w:spacing w:line="320" w:lineRule="exact"/>
              <w:jc w:val="center"/>
              <w:rPr>
                <w:rFonts w:hint="eastAsia" w:ascii="黑体" w:hAnsi="黑体" w:eastAsia="黑体" w:cs="黑体"/>
                <w:sz w:val="24"/>
                <w:szCs w:val="24"/>
              </w:rPr>
            </w:pPr>
          </w:p>
          <w:p>
            <w:pPr>
              <w:spacing w:line="320" w:lineRule="exact"/>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四</w:t>
            </w:r>
          </w:p>
        </w:tc>
        <w:tc>
          <w:tcPr>
            <w:tcW w:w="964" w:type="dxa"/>
            <w:vMerge w:val="restart"/>
            <w:noWrap w:val="0"/>
            <w:vAlign w:val="center"/>
          </w:tcPr>
          <w:p>
            <w:pPr>
              <w:spacing w:line="320" w:lineRule="exact"/>
              <w:jc w:val="center"/>
              <w:rPr>
                <w:rFonts w:hint="eastAsia" w:ascii="黑体" w:hAnsi="黑体" w:eastAsia="黑体" w:cs="黑体"/>
                <w:sz w:val="24"/>
                <w:szCs w:val="24"/>
              </w:rPr>
            </w:pPr>
          </w:p>
          <w:p>
            <w:pPr>
              <w:spacing w:line="320" w:lineRule="exact"/>
              <w:jc w:val="center"/>
              <w:rPr>
                <w:rFonts w:hint="eastAsia" w:ascii="黑体" w:hAnsi="黑体" w:eastAsia="黑体" w:cs="黑体"/>
                <w:sz w:val="24"/>
                <w:szCs w:val="24"/>
              </w:rPr>
            </w:pPr>
          </w:p>
          <w:p>
            <w:pPr>
              <w:spacing w:line="320" w:lineRule="exact"/>
              <w:jc w:val="center"/>
              <w:rPr>
                <w:rFonts w:hint="eastAsia" w:ascii="黑体" w:hAnsi="黑体" w:eastAsia="黑体" w:cs="黑体"/>
                <w:sz w:val="24"/>
                <w:szCs w:val="24"/>
              </w:rPr>
            </w:pPr>
          </w:p>
          <w:p>
            <w:pPr>
              <w:spacing w:line="320" w:lineRule="exact"/>
              <w:jc w:val="center"/>
              <w:rPr>
                <w:rFonts w:hint="eastAsia" w:ascii="黑体" w:hAnsi="黑体" w:eastAsia="黑体" w:cs="黑体"/>
                <w:sz w:val="24"/>
                <w:szCs w:val="24"/>
              </w:rPr>
            </w:pPr>
          </w:p>
          <w:p>
            <w:pPr>
              <w:spacing w:line="320" w:lineRule="exact"/>
              <w:jc w:val="center"/>
              <w:rPr>
                <w:rFonts w:hint="eastAsia" w:ascii="黑体" w:hAnsi="黑体" w:eastAsia="黑体" w:cs="黑体"/>
                <w:sz w:val="24"/>
                <w:szCs w:val="24"/>
              </w:rPr>
            </w:pPr>
          </w:p>
          <w:p>
            <w:pPr>
              <w:spacing w:line="320" w:lineRule="exact"/>
              <w:jc w:val="center"/>
              <w:rPr>
                <w:rFonts w:hint="eastAsia" w:ascii="黑体" w:hAnsi="黑体" w:eastAsia="黑体" w:cs="黑体"/>
                <w:sz w:val="24"/>
                <w:szCs w:val="24"/>
              </w:rPr>
            </w:pPr>
          </w:p>
          <w:p>
            <w:pPr>
              <w:spacing w:line="320" w:lineRule="exact"/>
              <w:jc w:val="center"/>
              <w:rPr>
                <w:rFonts w:hint="eastAsia" w:ascii="黑体" w:hAnsi="黑体" w:eastAsia="黑体" w:cs="黑体"/>
                <w:sz w:val="24"/>
                <w:szCs w:val="24"/>
              </w:rPr>
            </w:pPr>
          </w:p>
          <w:p>
            <w:pPr>
              <w:pStyle w:val="2"/>
              <w:rPr>
                <w:rFonts w:hint="eastAsia" w:ascii="黑体" w:hAnsi="黑体" w:eastAsia="黑体" w:cs="黑体"/>
                <w:sz w:val="24"/>
                <w:szCs w:val="24"/>
              </w:rPr>
            </w:pPr>
          </w:p>
          <w:p>
            <w:pPr>
              <w:rPr>
                <w:rFonts w:hint="eastAsia" w:ascii="黑体" w:hAnsi="黑体" w:eastAsia="黑体" w:cs="黑体"/>
                <w:sz w:val="24"/>
                <w:szCs w:val="24"/>
              </w:rPr>
            </w:pPr>
          </w:p>
          <w:p>
            <w:pPr>
              <w:pStyle w:val="2"/>
              <w:rPr>
                <w:rFonts w:hint="eastAsia"/>
              </w:rPr>
            </w:pPr>
          </w:p>
          <w:p>
            <w:pPr>
              <w:spacing w:line="320" w:lineRule="exact"/>
              <w:jc w:val="center"/>
              <w:rPr>
                <w:rFonts w:hint="eastAsia" w:ascii="黑体" w:hAnsi="黑体" w:eastAsia="黑体" w:cs="黑体"/>
                <w:sz w:val="24"/>
                <w:szCs w:val="24"/>
              </w:rPr>
            </w:pPr>
          </w:p>
          <w:p>
            <w:pPr>
              <w:spacing w:line="320" w:lineRule="exact"/>
              <w:jc w:val="left"/>
              <w:rPr>
                <w:rFonts w:hint="eastAsia" w:ascii="黑体" w:hAnsi="黑体" w:eastAsia="黑体" w:cs="黑体"/>
                <w:sz w:val="24"/>
                <w:szCs w:val="24"/>
              </w:rPr>
            </w:pPr>
            <w:r>
              <w:rPr>
                <w:rFonts w:hint="eastAsia" w:ascii="黑体" w:hAnsi="黑体" w:eastAsia="黑体" w:cs="黑体"/>
                <w:sz w:val="24"/>
                <w:szCs w:val="24"/>
              </w:rPr>
              <w:t>强化党建引领、实现共建共治共享</w:t>
            </w:r>
          </w:p>
        </w:tc>
        <w:tc>
          <w:tcPr>
            <w:tcW w:w="1366" w:type="dxa"/>
            <w:noWrap w:val="0"/>
            <w:vAlign w:val="center"/>
          </w:tcPr>
          <w:p>
            <w:pPr>
              <w:spacing w:line="320" w:lineRule="exact"/>
              <w:jc w:val="center"/>
              <w:rPr>
                <w:rFonts w:hint="eastAsia" w:ascii="楷体_GB2312" w:hAnsi="楷体_GB2312" w:eastAsia="楷体_GB2312" w:cs="楷体_GB2312"/>
                <w:b/>
                <w:bCs/>
                <w:color w:val="auto"/>
                <w:sz w:val="24"/>
                <w:szCs w:val="24"/>
                <w:lang w:bidi="zh-CN"/>
              </w:rPr>
            </w:pPr>
            <w:r>
              <w:rPr>
                <w:rFonts w:hint="eastAsia" w:ascii="楷体_GB2312" w:hAnsi="楷体_GB2312" w:eastAsia="楷体_GB2312" w:cs="楷体_GB2312"/>
                <w:b/>
                <w:bCs/>
                <w:color w:val="auto"/>
                <w:kern w:val="2"/>
                <w:sz w:val="24"/>
                <w:szCs w:val="24"/>
                <w:lang w:val="en-US" w:eastAsia="zh-CN" w:bidi="zh-CN"/>
              </w:rPr>
              <w:t>（一）强化党建引领</w:t>
            </w:r>
          </w:p>
        </w:tc>
        <w:tc>
          <w:tcPr>
            <w:tcW w:w="10893" w:type="dxa"/>
            <w:noWrap w:val="0"/>
            <w:vAlign w:val="center"/>
          </w:tcPr>
          <w:p>
            <w:pPr>
              <w:pStyle w:val="11"/>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val="en-US" w:eastAsia="zh-CN"/>
              </w:rPr>
              <w:t xml:space="preserve">    1</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b w:val="0"/>
                <w:bCs w:val="0"/>
                <w:color w:val="000000"/>
                <w:sz w:val="24"/>
                <w:szCs w:val="24"/>
                <w:lang w:eastAsia="zh-CN"/>
              </w:rPr>
              <w:t>浙江省</w:t>
            </w:r>
            <w:r>
              <w:rPr>
                <w:rFonts w:hint="eastAsia" w:ascii="仿宋_GB2312" w:hAnsi="仿宋_GB2312" w:eastAsia="仿宋_GB2312" w:cs="仿宋_GB2312"/>
                <w:sz w:val="24"/>
                <w:szCs w:val="24"/>
              </w:rPr>
              <w:t>宁波市要求党员要占小区业委会成员一定比例，同步开展机关事业单位党员到居住地社区“报到”</w:t>
            </w:r>
            <w:r>
              <w:rPr>
                <w:rFonts w:hint="eastAsia" w:ascii="仿宋_GB2312" w:hAnsi="仿宋_GB2312" w:eastAsia="仿宋_GB2312" w:cs="仿宋_GB2312"/>
                <w:sz w:val="24"/>
                <w:szCs w:val="24"/>
                <w:lang w:eastAsia="zh-CN"/>
              </w:rPr>
              <w:t>参与</w:t>
            </w:r>
            <w:r>
              <w:rPr>
                <w:rFonts w:hint="eastAsia" w:ascii="仿宋_GB2312" w:hAnsi="仿宋_GB2312" w:eastAsia="仿宋_GB2312" w:cs="仿宋_GB2312"/>
                <w:color w:val="000000"/>
                <w:sz w:val="24"/>
                <w:szCs w:val="24"/>
              </w:rPr>
              <w:t>小区治理</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全市</w:t>
            </w:r>
            <w:r>
              <w:rPr>
                <w:rFonts w:hint="eastAsia" w:ascii="仿宋_GB2312" w:hAnsi="仿宋_GB2312" w:eastAsia="仿宋_GB2312" w:cs="仿宋_GB2312"/>
                <w:color w:val="000000"/>
                <w:sz w:val="24"/>
                <w:szCs w:val="24"/>
                <w:lang w:eastAsia="zh-CN"/>
              </w:rPr>
              <w:t>改造</w:t>
            </w:r>
            <w:r>
              <w:rPr>
                <w:rFonts w:hint="eastAsia" w:ascii="仿宋_GB2312" w:hAnsi="仿宋_GB2312" w:eastAsia="仿宋_GB2312" w:cs="仿宋_GB2312"/>
                <w:sz w:val="24"/>
                <w:szCs w:val="24"/>
                <w:lang w:eastAsia="zh-CN"/>
              </w:rPr>
              <w:t>的</w:t>
            </w:r>
            <w:r>
              <w:rPr>
                <w:rFonts w:hint="eastAsia" w:ascii="仿宋_GB2312" w:hAnsi="仿宋_GB2312" w:eastAsia="仿宋_GB2312" w:cs="仿宋_GB2312"/>
                <w:sz w:val="24"/>
                <w:szCs w:val="24"/>
              </w:rPr>
              <w:t>155个老旧小区</w:t>
            </w:r>
            <w:r>
              <w:rPr>
                <w:rFonts w:hint="eastAsia" w:ascii="仿宋_GB2312" w:hAnsi="仿宋_GB2312" w:eastAsia="仿宋_GB2312" w:cs="仿宋_GB2312"/>
                <w:sz w:val="24"/>
                <w:szCs w:val="24"/>
                <w:lang w:eastAsia="zh-CN"/>
              </w:rPr>
              <w:t>均</w:t>
            </w:r>
            <w:r>
              <w:rPr>
                <w:rFonts w:hint="eastAsia" w:ascii="仿宋_GB2312" w:hAnsi="仿宋_GB2312" w:eastAsia="仿宋_GB2312" w:cs="仿宋_GB2312"/>
                <w:sz w:val="24"/>
                <w:szCs w:val="24"/>
              </w:rPr>
              <w:t>成立了党组织，</w:t>
            </w:r>
            <w:r>
              <w:rPr>
                <w:rFonts w:hint="eastAsia" w:ascii="仿宋_GB2312" w:hAnsi="仿宋_GB2312" w:eastAsia="仿宋_GB2312" w:cs="仿宋_GB2312"/>
                <w:sz w:val="24"/>
                <w:szCs w:val="24"/>
                <w:lang w:eastAsia="zh-CN"/>
              </w:rPr>
              <w:t>党员带头</w:t>
            </w:r>
            <w:r>
              <w:rPr>
                <w:rFonts w:hint="eastAsia" w:ascii="仿宋_GB2312" w:hAnsi="仿宋_GB2312" w:eastAsia="仿宋_GB2312" w:cs="仿宋_GB2312"/>
                <w:sz w:val="24"/>
                <w:szCs w:val="24"/>
              </w:rPr>
              <w:t>当好</w:t>
            </w:r>
            <w:r>
              <w:rPr>
                <w:rFonts w:hint="eastAsia" w:ascii="仿宋_GB2312" w:hAnsi="仿宋_GB2312" w:eastAsia="仿宋_GB2312" w:cs="仿宋_GB2312"/>
                <w:sz w:val="24"/>
                <w:szCs w:val="24"/>
                <w:lang w:eastAsia="zh-CN"/>
              </w:rPr>
              <w:t>改造</w:t>
            </w:r>
            <w:r>
              <w:rPr>
                <w:rFonts w:hint="eastAsia" w:ascii="仿宋_GB2312" w:hAnsi="仿宋_GB2312" w:eastAsia="仿宋_GB2312" w:cs="仿宋_GB2312"/>
                <w:sz w:val="24"/>
                <w:szCs w:val="24"/>
              </w:rPr>
              <w:t>政策宣传员、议事协调员、质量监督员和进度联络员</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让群众真切感受到“组织在身边、身边有党员”。</w:t>
            </w:r>
          </w:p>
          <w:p>
            <w:pPr>
              <w:pStyle w:val="11"/>
              <w:keepNext w:val="0"/>
              <w:keepLines w:val="0"/>
              <w:pageBreakBefore w:val="0"/>
              <w:widowControl/>
              <w:kinsoku/>
              <w:wordWrap/>
              <w:overflowPunct/>
              <w:topLinePunct w:val="0"/>
              <w:autoSpaceDE/>
              <w:autoSpaceDN/>
              <w:bidi w:val="0"/>
              <w:adjustRightInd/>
              <w:snapToGrid/>
              <w:spacing w:line="240" w:lineRule="auto"/>
              <w:ind w:firstLine="0" w:firstLineChars="0"/>
              <w:textAlignment w:val="baseline"/>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2.广东省深圳市90%以上的老旧小区成立党支部，搭建小区党支部主导的公共事务协商议事平台，建立“群众提议、支部动议、业委会审议、物</w:t>
            </w:r>
            <w:r>
              <w:rPr>
                <w:rFonts w:hint="eastAsia" w:ascii="仿宋_GB2312" w:hAnsi="仿宋_GB2312" w:eastAsia="仿宋_GB2312" w:cs="仿宋_GB2312"/>
                <w:b w:val="0"/>
                <w:bCs w:val="0"/>
                <w:kern w:val="0"/>
                <w:sz w:val="24"/>
                <w:szCs w:val="24"/>
                <w:lang w:val="en-US" w:eastAsia="zh-CN"/>
              </w:rPr>
              <w:t>业或第三方企业执行、监委会监督、群众评议”的老旧小区改造运作和管理模式</w:t>
            </w:r>
            <w:r>
              <w:rPr>
                <w:rFonts w:hint="eastAsia" w:ascii="仿宋_GB2312" w:hAnsi="仿宋_GB2312" w:eastAsia="仿宋_GB2312" w:cs="仿宋_GB2312"/>
                <w:sz w:val="24"/>
                <w:szCs w:val="24"/>
              </w:rPr>
              <w:t>，有力保障改造工作的顺利推进</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455" w:type="dxa"/>
            <w:vMerge w:val="continue"/>
            <w:noWrap w:val="0"/>
            <w:vAlign w:val="center"/>
          </w:tcPr>
          <w:p>
            <w:pPr>
              <w:spacing w:line="320" w:lineRule="exact"/>
              <w:jc w:val="center"/>
              <w:rPr>
                <w:rFonts w:hint="eastAsia" w:ascii="黑体" w:hAnsi="黑体" w:eastAsia="黑体" w:cs="黑体"/>
                <w:sz w:val="24"/>
                <w:szCs w:val="24"/>
                <w:lang w:eastAsia="zh-CN"/>
              </w:rPr>
            </w:pPr>
          </w:p>
        </w:tc>
        <w:tc>
          <w:tcPr>
            <w:tcW w:w="964" w:type="dxa"/>
            <w:vMerge w:val="continue"/>
            <w:noWrap w:val="0"/>
            <w:vAlign w:val="center"/>
          </w:tcPr>
          <w:p>
            <w:pPr>
              <w:spacing w:line="320" w:lineRule="exact"/>
              <w:jc w:val="center"/>
              <w:rPr>
                <w:rFonts w:hint="eastAsia" w:ascii="黑体" w:hAnsi="黑体" w:eastAsia="黑体" w:cs="黑体"/>
                <w:sz w:val="24"/>
                <w:szCs w:val="24"/>
              </w:rPr>
            </w:pPr>
          </w:p>
        </w:tc>
        <w:tc>
          <w:tcPr>
            <w:tcW w:w="1366" w:type="dxa"/>
            <w:noWrap w:val="0"/>
            <w:vAlign w:val="center"/>
          </w:tcPr>
          <w:p>
            <w:pPr>
              <w:spacing w:line="320" w:lineRule="exact"/>
              <w:jc w:val="center"/>
              <w:rPr>
                <w:rFonts w:hint="eastAsia" w:ascii="楷体_GB2312" w:hAnsi="楷体_GB2312" w:eastAsia="楷体_GB2312" w:cs="楷体_GB2312"/>
                <w:b/>
                <w:bCs/>
                <w:color w:val="auto"/>
                <w:kern w:val="2"/>
                <w:sz w:val="24"/>
                <w:szCs w:val="24"/>
                <w:lang w:val="en-US" w:eastAsia="zh-CN" w:bidi="zh-CN"/>
              </w:rPr>
            </w:pPr>
          </w:p>
        </w:tc>
        <w:tc>
          <w:tcPr>
            <w:tcW w:w="10893" w:type="dxa"/>
            <w:noWrap w:val="0"/>
            <w:vAlign w:val="center"/>
          </w:tcPr>
          <w:p>
            <w:pPr>
              <w:pStyle w:val="11"/>
              <w:keepNext w:val="0"/>
              <w:keepLines w:val="0"/>
              <w:pageBreakBefore w:val="0"/>
              <w:widowControl/>
              <w:kinsoku/>
              <w:wordWrap/>
              <w:overflowPunct/>
              <w:topLinePunct w:val="0"/>
              <w:autoSpaceDE/>
              <w:autoSpaceDN/>
              <w:bidi w:val="0"/>
              <w:adjustRightInd/>
              <w:snapToGrid/>
              <w:spacing w:line="320" w:lineRule="exact"/>
              <w:ind w:firstLine="420" w:firstLineChars="0"/>
              <w:textAlignment w:val="baseline"/>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sz w:val="24"/>
                <w:szCs w:val="24"/>
                <w:lang w:eastAsia="zh-CN"/>
              </w:rPr>
              <w:t>重庆市永川区以小区为单位成立党支部，推动全区约7300名在职党员回老旧小区党支部报到，并量身定制工作清单。每名在职党员结合自身特长至少认领一类志愿服务岗，由小区党支部统筹开展志愿问诊、法律讲坛等服务，同时深入楼栋，清扫楼道、搬运杂物、清理飞线，用实际行动助力小区改造及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jc w:val="center"/>
        </w:trPr>
        <w:tc>
          <w:tcPr>
            <w:tcW w:w="455" w:type="dxa"/>
            <w:vMerge w:val="continue"/>
            <w:noWrap w:val="0"/>
            <w:vAlign w:val="top"/>
          </w:tcPr>
          <w:p>
            <w:pPr>
              <w:spacing w:line="320" w:lineRule="exact"/>
              <w:jc w:val="left"/>
              <w:rPr>
                <w:rFonts w:hint="eastAsia" w:ascii="黑体" w:hAnsi="黑体" w:eastAsia="黑体" w:cs="黑体"/>
                <w:sz w:val="24"/>
                <w:szCs w:val="24"/>
              </w:rPr>
            </w:pPr>
          </w:p>
        </w:tc>
        <w:tc>
          <w:tcPr>
            <w:tcW w:w="964" w:type="dxa"/>
            <w:vMerge w:val="continue"/>
            <w:noWrap w:val="0"/>
            <w:vAlign w:val="center"/>
          </w:tcPr>
          <w:p>
            <w:pPr>
              <w:spacing w:line="320" w:lineRule="exact"/>
              <w:jc w:val="center"/>
              <w:rPr>
                <w:rFonts w:hint="eastAsia" w:ascii="黑体" w:hAnsi="黑体" w:eastAsia="黑体" w:cs="黑体"/>
                <w:sz w:val="24"/>
                <w:szCs w:val="24"/>
              </w:rPr>
            </w:pPr>
          </w:p>
        </w:tc>
        <w:tc>
          <w:tcPr>
            <w:tcW w:w="1366" w:type="dxa"/>
            <w:noWrap w:val="0"/>
            <w:vAlign w:val="center"/>
          </w:tcPr>
          <w:p>
            <w:pPr>
              <w:spacing w:line="320" w:lineRule="exact"/>
              <w:rPr>
                <w:rFonts w:hint="eastAsia" w:ascii="楷体_GB2312" w:hAnsi="楷体_GB2312" w:eastAsia="楷体_GB2312" w:cs="楷体_GB2312"/>
                <w:b/>
                <w:bCs/>
                <w:color w:val="auto"/>
                <w:sz w:val="24"/>
                <w:szCs w:val="24"/>
                <w:lang w:bidi="zh-CN"/>
              </w:rPr>
            </w:pPr>
            <w:r>
              <w:rPr>
                <w:rFonts w:hint="eastAsia" w:ascii="楷体_GB2312" w:hAnsi="楷体_GB2312" w:eastAsia="楷体_GB2312" w:cs="楷体_GB2312"/>
                <w:b/>
                <w:bCs/>
                <w:sz w:val="24"/>
                <w:szCs w:val="24"/>
              </w:rPr>
              <w:t>（二）</w:t>
            </w:r>
            <w:r>
              <w:rPr>
                <w:rFonts w:hint="eastAsia" w:ascii="楷体_GB2312" w:hAnsi="楷体_GB2312" w:eastAsia="楷体_GB2312" w:cs="楷体_GB2312"/>
                <w:b/>
                <w:bCs/>
                <w:color w:val="auto"/>
                <w:sz w:val="24"/>
                <w:szCs w:val="24"/>
                <w:lang w:eastAsia="zh-CN"/>
              </w:rPr>
              <w:t>发挥</w:t>
            </w:r>
            <w:r>
              <w:rPr>
                <w:rFonts w:hint="eastAsia" w:ascii="楷体_GB2312" w:hAnsi="楷体_GB2312" w:eastAsia="楷体_GB2312" w:cs="楷体_GB2312"/>
                <w:b/>
                <w:bCs/>
                <w:color w:val="auto"/>
                <w:sz w:val="24"/>
                <w:szCs w:val="24"/>
              </w:rPr>
              <w:t>小区</w:t>
            </w:r>
            <w:r>
              <w:rPr>
                <w:rFonts w:hint="eastAsia" w:ascii="楷体_GB2312" w:hAnsi="楷体_GB2312" w:eastAsia="楷体_GB2312" w:cs="楷体_GB2312"/>
                <w:b/>
                <w:bCs/>
                <w:color w:val="auto"/>
                <w:sz w:val="24"/>
                <w:szCs w:val="24"/>
                <w:lang w:eastAsia="zh-CN"/>
              </w:rPr>
              <w:t>居民主体</w:t>
            </w:r>
            <w:r>
              <w:rPr>
                <w:rFonts w:hint="eastAsia" w:ascii="楷体_GB2312" w:hAnsi="楷体_GB2312" w:eastAsia="楷体_GB2312" w:cs="楷体_GB2312"/>
                <w:b/>
                <w:bCs/>
                <w:color w:val="auto"/>
                <w:sz w:val="24"/>
                <w:szCs w:val="24"/>
              </w:rPr>
              <w:t>作用</w:t>
            </w:r>
          </w:p>
        </w:tc>
        <w:tc>
          <w:tcPr>
            <w:tcW w:w="10893" w:type="dxa"/>
            <w:noWrap w:val="0"/>
            <w:vAlign w:val="center"/>
          </w:tcPr>
          <w:p>
            <w:pPr>
              <w:pStyle w:val="11"/>
              <w:keepNext w:val="0"/>
              <w:keepLines w:val="0"/>
              <w:pageBreakBefore w:val="0"/>
              <w:widowControl/>
              <w:kinsoku/>
              <w:wordWrap/>
              <w:overflowPunct/>
              <w:topLinePunct w:val="0"/>
              <w:autoSpaceDE/>
              <w:autoSpaceDN/>
              <w:bidi w:val="0"/>
              <w:adjustRightInd/>
              <w:snapToGrid/>
              <w:spacing w:line="320" w:lineRule="exact"/>
              <w:ind w:firstLine="420"/>
              <w:outlineLvl w:val="9"/>
              <w:rPr>
                <w:rFonts w:hint="eastAsia" w:ascii="仿宋_GB2312" w:hAnsi="仿宋_GB2312" w:eastAsia="仿宋_GB2312" w:cs="仿宋_GB2312"/>
                <w:b w:val="0"/>
                <w:bCs w:val="0"/>
                <w:kern w:val="0"/>
                <w:sz w:val="24"/>
                <w:szCs w:val="24"/>
                <w:lang w:val="en-US" w:eastAsia="zh-CN" w:bidi="en-US"/>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sz w:val="24"/>
                <w:szCs w:val="24"/>
                <w:lang w:val="en-US" w:eastAsia="zh-CN"/>
              </w:rPr>
              <w:t>河北省保定市在全省率先建立征求民意达到3个80%的标准，即80%以上居民同意改造的小区方可纳入改造计划、改造方案经80%以上居民同意方可开工、居民满意度达到80%以上方可竣工验收</w:t>
            </w:r>
            <w:r>
              <w:rPr>
                <w:rFonts w:hint="eastAsia" w:ascii="仿宋_GB2312" w:hAnsi="仿宋_GB2312" w:eastAsia="仿宋_GB2312" w:cs="仿宋_GB2312"/>
                <w:color w:val="000000"/>
                <w:kern w:val="0"/>
                <w:sz w:val="24"/>
                <w:szCs w:val="24"/>
                <w:lang w:val="en-US" w:eastAsia="zh-CN" w:bidi="en-US"/>
              </w:rPr>
              <w:t>；2022年全市</w:t>
            </w:r>
            <w:r>
              <w:rPr>
                <w:rFonts w:hint="eastAsia" w:ascii="仿宋_GB2312" w:hAnsi="仿宋_GB2312" w:eastAsia="仿宋_GB2312" w:cs="仿宋_GB2312"/>
                <w:b w:val="0"/>
                <w:color w:val="000000"/>
                <w:kern w:val="0"/>
                <w:sz w:val="24"/>
                <w:szCs w:val="24"/>
                <w:lang w:val="en-US" w:eastAsia="zh-CN" w:bidi="en-US"/>
              </w:rPr>
              <w:t>通过</w:t>
            </w:r>
            <w:r>
              <w:rPr>
                <w:rFonts w:hint="eastAsia" w:ascii="仿宋_GB2312" w:hAnsi="仿宋_GB2312" w:eastAsia="仿宋_GB2312" w:cs="仿宋_GB2312"/>
                <w:color w:val="000000"/>
                <w:kern w:val="0"/>
                <w:sz w:val="24"/>
                <w:szCs w:val="24"/>
                <w:u w:val="none"/>
                <w:lang w:val="en-US" w:eastAsia="zh-CN" w:bidi="en-US"/>
              </w:rPr>
              <w:t>菜单式表格、</w:t>
            </w:r>
            <w:r>
              <w:rPr>
                <w:rFonts w:hint="eastAsia" w:ascii="仿宋_GB2312" w:hAnsi="仿宋_GB2312" w:eastAsia="仿宋_GB2312" w:cs="仿宋_GB2312"/>
                <w:b w:val="0"/>
                <w:color w:val="000000"/>
                <w:kern w:val="0"/>
                <w:sz w:val="24"/>
                <w:szCs w:val="24"/>
                <w:lang w:val="en-US" w:eastAsia="zh-CN" w:bidi="en-US"/>
              </w:rPr>
              <w:t>三上三下</w:t>
            </w:r>
            <w:r>
              <w:rPr>
                <w:rFonts w:hint="eastAsia" w:ascii="仿宋_GB2312" w:hAnsi="仿宋_GB2312" w:eastAsia="仿宋_GB2312" w:cs="仿宋_GB2312"/>
                <w:color w:val="000000"/>
                <w:sz w:val="24"/>
                <w:szCs w:val="24"/>
                <w:u w:val="none"/>
                <w:lang w:val="en-US" w:eastAsia="zh-CN" w:bidi="en-US"/>
              </w:rPr>
              <w:t>征求</w:t>
            </w:r>
            <w:r>
              <w:rPr>
                <w:rFonts w:hint="eastAsia" w:ascii="仿宋_GB2312" w:hAnsi="仿宋_GB2312" w:eastAsia="仿宋_GB2312" w:cs="仿宋_GB2312"/>
                <w:b w:val="0"/>
                <w:color w:val="000000"/>
                <w:kern w:val="0"/>
                <w:sz w:val="24"/>
                <w:szCs w:val="24"/>
                <w:lang w:val="en-US" w:eastAsia="zh-CN" w:bidi="en-US"/>
              </w:rPr>
              <w:t>居民</w:t>
            </w:r>
            <w:r>
              <w:rPr>
                <w:rFonts w:hint="eastAsia" w:ascii="仿宋_GB2312" w:hAnsi="仿宋_GB2312" w:eastAsia="仿宋_GB2312" w:cs="仿宋_GB2312"/>
                <w:color w:val="000000"/>
                <w:sz w:val="24"/>
                <w:szCs w:val="24"/>
                <w:u w:val="none"/>
                <w:lang w:val="en-US" w:eastAsia="zh-CN" w:bidi="en-US"/>
              </w:rPr>
              <w:t>意愿</w:t>
            </w:r>
            <w:r>
              <w:rPr>
                <w:rFonts w:hint="eastAsia" w:ascii="仿宋_GB2312" w:hAnsi="仿宋_GB2312" w:eastAsia="仿宋_GB2312" w:cs="仿宋_GB2312"/>
                <w:b w:val="0"/>
                <w:color w:val="000000"/>
                <w:kern w:val="0"/>
                <w:sz w:val="24"/>
                <w:szCs w:val="24"/>
                <w:lang w:val="en-US" w:eastAsia="zh-CN" w:bidi="en-US"/>
              </w:rPr>
              <w:t>36981份</w:t>
            </w:r>
            <w:r>
              <w:rPr>
                <w:rFonts w:hint="eastAsia" w:ascii="仿宋_GB2312" w:hAnsi="仿宋_GB2312" w:eastAsia="仿宋_GB2312" w:cs="仿宋_GB2312"/>
                <w:color w:val="000000"/>
                <w:sz w:val="24"/>
                <w:szCs w:val="24"/>
                <w:u w:val="none"/>
                <w:lang w:val="en-US" w:eastAsia="zh-CN" w:bidi="en-US"/>
              </w:rPr>
              <w:t>，</w:t>
            </w:r>
            <w:r>
              <w:rPr>
                <w:rFonts w:hint="eastAsia" w:ascii="仿宋_GB2312" w:hAnsi="仿宋_GB2312" w:eastAsia="仿宋_GB2312" w:cs="仿宋_GB2312"/>
                <w:color w:val="000000"/>
                <w:kern w:val="0"/>
                <w:sz w:val="24"/>
                <w:szCs w:val="24"/>
                <w:lang w:val="en-US" w:eastAsia="zh-CN" w:bidi="en-US"/>
              </w:rPr>
              <w:t>组织</w:t>
            </w:r>
            <w:r>
              <w:rPr>
                <w:rFonts w:hint="eastAsia" w:ascii="仿宋_GB2312" w:hAnsi="仿宋_GB2312" w:eastAsia="仿宋_GB2312" w:cs="仿宋_GB2312"/>
                <w:b w:val="0"/>
                <w:bCs w:val="0"/>
                <w:color w:val="000000"/>
                <w:sz w:val="24"/>
                <w:szCs w:val="24"/>
                <w:lang w:val="en-US" w:eastAsia="zh-CN"/>
              </w:rPr>
              <w:t>街道社区监</w:t>
            </w:r>
            <w:r>
              <w:rPr>
                <w:rFonts w:hint="eastAsia" w:ascii="仿宋_GB2312" w:hAnsi="仿宋_GB2312" w:eastAsia="仿宋_GB2312" w:cs="仿宋_GB2312"/>
                <w:b w:val="0"/>
                <w:bCs w:val="0"/>
                <w:color w:val="000000"/>
                <w:sz w:val="24"/>
                <w:szCs w:val="24"/>
                <w:lang w:val="en-US" w:eastAsia="zh-CN" w:bidi="en-US"/>
              </w:rPr>
              <w:t>督员、居民监督员等组成的</w:t>
            </w:r>
            <w:r>
              <w:rPr>
                <w:rFonts w:hint="eastAsia" w:ascii="仿宋_GB2312" w:hAnsi="仿宋_GB2312" w:eastAsia="仿宋_GB2312" w:cs="仿宋_GB2312"/>
                <w:color w:val="000000"/>
                <w:kern w:val="0"/>
                <w:sz w:val="24"/>
                <w:szCs w:val="24"/>
                <w:lang w:val="en-US" w:eastAsia="zh-CN" w:bidi="en-US"/>
              </w:rPr>
              <w:t>工程监督小组</w:t>
            </w:r>
            <w:r>
              <w:rPr>
                <w:rFonts w:hint="eastAsia" w:ascii="仿宋_GB2312" w:hAnsi="仿宋_GB2312" w:eastAsia="仿宋_GB2312" w:cs="仿宋_GB2312"/>
                <w:color w:val="000000"/>
                <w:sz w:val="24"/>
                <w:szCs w:val="24"/>
                <w:lang w:val="en-US" w:eastAsia="zh-CN" w:bidi="en-US"/>
              </w:rPr>
              <w:t>协调处理设计、施工、监理类问题1380余件，</w:t>
            </w:r>
            <w:r>
              <w:rPr>
                <w:rFonts w:hint="eastAsia" w:ascii="仿宋_GB2312" w:hAnsi="仿宋_GB2312" w:eastAsia="仿宋_GB2312" w:cs="仿宋_GB2312"/>
                <w:color w:val="000000"/>
                <w:sz w:val="24"/>
                <w:szCs w:val="24"/>
                <w:u w:val="none"/>
                <w:lang w:val="en-US" w:eastAsia="zh-CN"/>
              </w:rPr>
              <w:t>287个改造项目完工后居民满意度全部达</w:t>
            </w:r>
            <w:r>
              <w:rPr>
                <w:rFonts w:hint="eastAsia" w:ascii="仿宋_GB2312" w:hAnsi="仿宋_GB2312" w:eastAsia="仿宋_GB2312" w:cs="仿宋_GB2312"/>
                <w:color w:val="000000"/>
                <w:sz w:val="24"/>
                <w:szCs w:val="24"/>
                <w:u w:val="none"/>
                <w:lang w:val="en-US" w:eastAsia="zh-CN" w:bidi="en-US"/>
              </w:rPr>
              <w:t>到85%以上。</w:t>
            </w:r>
          </w:p>
          <w:p>
            <w:pPr>
              <w:pStyle w:val="11"/>
              <w:keepNext w:val="0"/>
              <w:keepLines w:val="0"/>
              <w:pageBreakBefore w:val="0"/>
              <w:widowControl/>
              <w:kinsoku/>
              <w:wordWrap/>
              <w:overflowPunct/>
              <w:topLinePunct w:val="0"/>
              <w:autoSpaceDE/>
              <w:autoSpaceDN/>
              <w:bidi w:val="0"/>
              <w:adjustRightInd/>
              <w:snapToGrid/>
              <w:spacing w:line="320" w:lineRule="exact"/>
              <w:ind w:firstLine="420"/>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sz w:val="24"/>
                <w:szCs w:val="24"/>
                <w:lang w:eastAsia="zh-CN"/>
              </w:rPr>
              <w:t>重庆市永川区</w:t>
            </w:r>
            <w:r>
              <w:rPr>
                <w:rFonts w:hint="eastAsia" w:ascii="仿宋_GB2312" w:hAnsi="仿宋_GB2312" w:eastAsia="仿宋_GB2312" w:cs="仿宋_GB2312"/>
                <w:b w:val="0"/>
                <w:bCs w:val="0"/>
                <w:color w:val="000000"/>
                <w:sz w:val="24"/>
                <w:szCs w:val="24"/>
              </w:rPr>
              <w:t>发挥专业人员作用</w:t>
            </w: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color w:val="000000"/>
                <w:sz w:val="24"/>
                <w:szCs w:val="24"/>
              </w:rPr>
              <w:t>依托西部职教基地人才优势，从区内17所职教院校遴选近百名设计师、工程师和艺术家深入社区，</w:t>
            </w:r>
            <w:r>
              <w:rPr>
                <w:rFonts w:hint="eastAsia" w:ascii="仿宋_GB2312" w:hAnsi="仿宋_GB2312" w:eastAsia="仿宋_GB2312" w:cs="仿宋_GB2312"/>
                <w:color w:val="000000"/>
                <w:kern w:val="0"/>
                <w:sz w:val="24"/>
                <w:szCs w:val="24"/>
                <w:lang w:val="en-US" w:eastAsia="zh-CN" w:bidi="en-US"/>
              </w:rPr>
              <w:t>帮助项目业主、设计单位、居民了解掌握改造的政策、内容、方法等，</w:t>
            </w:r>
            <w:r>
              <w:rPr>
                <w:rFonts w:hint="eastAsia" w:ascii="仿宋_GB2312" w:hAnsi="仿宋_GB2312" w:eastAsia="仿宋_GB2312" w:cs="仿宋_GB2312"/>
                <w:color w:val="000000"/>
                <w:sz w:val="24"/>
                <w:szCs w:val="24"/>
              </w:rPr>
              <w:t>设计多套改造效果比对方案，辅导居民有效参与</w:t>
            </w:r>
            <w:r>
              <w:rPr>
                <w:rFonts w:hint="eastAsia" w:ascii="仿宋_GB2312" w:hAnsi="仿宋_GB2312" w:eastAsia="仿宋_GB2312" w:cs="仿宋_GB2312"/>
                <w:color w:val="000000"/>
                <w:sz w:val="24"/>
                <w:szCs w:val="24"/>
                <w:lang w:eastAsia="zh-CN"/>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455" w:type="dxa"/>
            <w:vMerge w:val="continue"/>
            <w:noWrap w:val="0"/>
            <w:vAlign w:val="top"/>
          </w:tcPr>
          <w:p>
            <w:pPr>
              <w:spacing w:line="320" w:lineRule="exact"/>
              <w:jc w:val="left"/>
              <w:rPr>
                <w:rFonts w:hint="eastAsia" w:ascii="黑体" w:hAnsi="黑体" w:eastAsia="黑体" w:cs="黑体"/>
                <w:sz w:val="24"/>
                <w:szCs w:val="24"/>
              </w:rPr>
            </w:pPr>
          </w:p>
        </w:tc>
        <w:tc>
          <w:tcPr>
            <w:tcW w:w="964" w:type="dxa"/>
            <w:vMerge w:val="continue"/>
            <w:noWrap w:val="0"/>
            <w:vAlign w:val="center"/>
          </w:tcPr>
          <w:p>
            <w:pPr>
              <w:spacing w:line="320" w:lineRule="exact"/>
              <w:jc w:val="center"/>
              <w:rPr>
                <w:rFonts w:hint="eastAsia" w:ascii="黑体" w:hAnsi="黑体" w:eastAsia="黑体" w:cs="黑体"/>
                <w:sz w:val="24"/>
                <w:szCs w:val="24"/>
              </w:rPr>
            </w:pPr>
          </w:p>
        </w:tc>
        <w:tc>
          <w:tcPr>
            <w:tcW w:w="1366" w:type="dxa"/>
            <w:tcBorders>
              <w:bottom w:val="single" w:color="000000" w:sz="4" w:space="0"/>
            </w:tcBorders>
            <w:noWrap w:val="0"/>
            <w:vAlign w:val="center"/>
          </w:tcPr>
          <w:p>
            <w:pPr>
              <w:pStyle w:val="8"/>
              <w:spacing w:line="320" w:lineRule="exact"/>
              <w:ind w:left="0" w:leftChars="0" w:firstLine="0" w:firstLineChars="0"/>
              <w:rPr>
                <w:rFonts w:hint="eastAsia" w:ascii="楷体_GB2312" w:hAnsi="楷体_GB2312" w:eastAsia="楷体_GB2312" w:cs="楷体_GB2312"/>
                <w:b/>
                <w:bCs/>
                <w:color w:val="auto"/>
                <w:sz w:val="24"/>
                <w:szCs w:val="24"/>
                <w:lang w:bidi="zh-CN"/>
              </w:rPr>
            </w:pPr>
            <w:r>
              <w:rPr>
                <w:rFonts w:hint="eastAsia" w:ascii="楷体_GB2312" w:hAnsi="楷体_GB2312" w:eastAsia="楷体_GB2312" w:cs="楷体_GB2312"/>
                <w:b/>
                <w:bCs/>
                <w:color w:val="auto"/>
                <w:sz w:val="24"/>
                <w:szCs w:val="24"/>
                <w:lang w:eastAsia="zh-CN"/>
              </w:rPr>
              <w:t>（三）加强改造后长效管理</w:t>
            </w:r>
          </w:p>
        </w:tc>
        <w:tc>
          <w:tcPr>
            <w:tcW w:w="10893" w:type="dxa"/>
            <w:tcBorders>
              <w:bottom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firstLine="640"/>
              <w:outlineLvl w:val="9"/>
              <w:rPr>
                <w:rFonts w:hint="default" w:ascii="仿宋_GB2312" w:hAnsi="仿宋_GB2312" w:eastAsia="仿宋_GB2312" w:cs="仿宋_GB2312"/>
                <w:color w:val="000000"/>
                <w:kern w:val="0"/>
                <w:sz w:val="24"/>
                <w:szCs w:val="24"/>
                <w:lang w:val="en-US" w:eastAsia="zh-CN" w:bidi="en-US"/>
              </w:rPr>
            </w:pPr>
            <w:r>
              <w:rPr>
                <w:rFonts w:hint="eastAsia" w:ascii="仿宋_GB2312" w:hAnsi="仿宋_GB2312" w:eastAsia="仿宋_GB2312" w:cs="仿宋_GB2312"/>
                <w:color w:val="000000"/>
                <w:kern w:val="0"/>
                <w:sz w:val="24"/>
                <w:szCs w:val="24"/>
                <w:lang w:val="en-US" w:eastAsia="zh-CN" w:bidi="en-US"/>
              </w:rPr>
              <w:t>1.北京市石景山区</w:t>
            </w:r>
            <w:r>
              <w:rPr>
                <w:rFonts w:hint="default" w:ascii="仿宋_GB2312" w:hAnsi="仿宋_GB2312" w:eastAsia="仿宋_GB2312" w:cs="仿宋_GB2312"/>
                <w:color w:val="000000"/>
                <w:kern w:val="0"/>
                <w:sz w:val="24"/>
                <w:szCs w:val="24"/>
                <w:lang w:val="en-US" w:eastAsia="zh-CN" w:bidi="en-US"/>
              </w:rPr>
              <w:t>坚持改管并重、以改促管，通过居民出一点、企业投一点、产权单位筹一点、补建设施收益一点</w:t>
            </w:r>
            <w:r>
              <w:rPr>
                <w:rFonts w:hint="eastAsia" w:ascii="仿宋_GB2312" w:hAnsi="仿宋_GB2312" w:eastAsia="仿宋_GB2312" w:cs="仿宋_GB2312"/>
                <w:color w:val="000000"/>
                <w:kern w:val="0"/>
                <w:sz w:val="24"/>
                <w:szCs w:val="24"/>
                <w:lang w:val="en-US" w:eastAsia="zh-CN" w:bidi="en-US"/>
              </w:rPr>
              <w:t>等渠道</w:t>
            </w:r>
            <w:r>
              <w:rPr>
                <w:rFonts w:hint="default" w:ascii="仿宋_GB2312" w:hAnsi="仿宋_GB2312" w:eastAsia="仿宋_GB2312" w:cs="仿宋_GB2312"/>
                <w:color w:val="000000"/>
                <w:kern w:val="0"/>
                <w:sz w:val="24"/>
                <w:szCs w:val="24"/>
                <w:lang w:val="en-US" w:eastAsia="zh-CN" w:bidi="en-US"/>
              </w:rPr>
              <w:t>解决物业管理资金不足难题，</w:t>
            </w:r>
            <w:r>
              <w:rPr>
                <w:rFonts w:hint="eastAsia" w:ascii="仿宋_GB2312" w:hAnsi="仿宋_GB2312" w:eastAsia="仿宋_GB2312" w:cs="仿宋_GB2312"/>
                <w:color w:val="000000"/>
                <w:kern w:val="0"/>
                <w:sz w:val="24"/>
                <w:szCs w:val="24"/>
                <w:lang w:val="en-US" w:eastAsia="zh-CN" w:bidi="en-US"/>
              </w:rPr>
              <w:t>2022年</w:t>
            </w:r>
            <w:r>
              <w:rPr>
                <w:rFonts w:hint="default" w:ascii="仿宋_GB2312" w:hAnsi="仿宋_GB2312" w:eastAsia="仿宋_GB2312" w:cs="仿宋_GB2312"/>
                <w:color w:val="000000"/>
                <w:kern w:val="0"/>
                <w:sz w:val="24"/>
                <w:szCs w:val="24"/>
                <w:lang w:val="en-US" w:eastAsia="zh-CN" w:bidi="en-US"/>
              </w:rPr>
              <w:t>列入改造范围的90个老旧小区中，业委会（物管会）与物业服务覆盖率</w:t>
            </w:r>
            <w:r>
              <w:rPr>
                <w:rFonts w:hint="eastAsia" w:ascii="仿宋_GB2312" w:hAnsi="仿宋_GB2312" w:eastAsia="仿宋_GB2312" w:cs="仿宋_GB2312"/>
                <w:color w:val="000000"/>
                <w:kern w:val="0"/>
                <w:sz w:val="24"/>
                <w:szCs w:val="24"/>
                <w:lang w:val="en-US" w:eastAsia="zh-CN" w:bidi="en-US"/>
              </w:rPr>
              <w:t>均</w:t>
            </w:r>
            <w:r>
              <w:rPr>
                <w:rFonts w:hint="default" w:ascii="仿宋_GB2312" w:hAnsi="仿宋_GB2312" w:eastAsia="仿宋_GB2312" w:cs="仿宋_GB2312"/>
                <w:color w:val="000000"/>
                <w:kern w:val="0"/>
                <w:sz w:val="24"/>
                <w:szCs w:val="24"/>
                <w:lang w:val="en-US" w:eastAsia="zh-CN" w:bidi="en-US"/>
              </w:rPr>
              <w:t>近100%。</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640"/>
              <w:outlineLvl w:val="9"/>
              <w:rPr>
                <w:rFonts w:hint="eastAsia" w:ascii="仿宋_GB2312" w:hAnsi="仿宋_GB2312" w:eastAsia="仿宋_GB2312" w:cs="仿宋_GB2312"/>
                <w:b/>
                <w:bCs/>
                <w:sz w:val="24"/>
                <w:szCs w:val="24"/>
              </w:rPr>
            </w:pPr>
            <w:r>
              <w:rPr>
                <w:rFonts w:hint="eastAsia" w:ascii="仿宋_GB2312" w:hAnsi="仿宋_GB2312" w:eastAsia="仿宋_GB2312" w:cs="仿宋_GB2312"/>
                <w:color w:val="000000"/>
                <w:kern w:val="0"/>
                <w:sz w:val="24"/>
                <w:szCs w:val="24"/>
                <w:lang w:val="en-US" w:eastAsia="zh-CN" w:bidi="en-US"/>
              </w:rPr>
              <w:t>2.安徽省滁州市结合“红色物业”建设，加强老旧小区物业管理，对无物业管理的老旧小区，通过“集中打捆”“就近打包”等方式引入专业化物业管理，对已进驻物业服务的，推动服务达标升级，满足居民高品质需求，全市改造后小区物业管理覆盖率100%，物业费交费率达到90%以上。</w:t>
            </w:r>
          </w:p>
        </w:tc>
      </w:tr>
    </w:tbl>
    <w:p/>
    <w:p/>
    <w:sectPr>
      <w:footerReference r:id="rId3" w:type="default"/>
      <w:pgSz w:w="16838" w:h="11906" w:orient="landscape"/>
      <w:pgMar w:top="1587" w:right="1440" w:bottom="1474" w:left="144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ZjgyNmQxZDFhZDBjMzU3NGJiNGNjMTFjZjM2NmYifQ=="/>
  </w:docVars>
  <w:rsids>
    <w:rsidRoot w:val="00000000"/>
    <w:rsid w:val="56210BB0"/>
    <w:rsid w:val="79FB5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ind w:firstLine="600"/>
    </w:pPr>
    <w:rPr>
      <w:rFonts w:eastAsia="仿宋_GB2312"/>
      <w:sz w:val="32"/>
    </w:rPr>
  </w:style>
  <w:style w:type="paragraph" w:styleId="3">
    <w:name w:val="Body Text"/>
    <w:basedOn w:val="1"/>
    <w:next w:val="4"/>
    <w:qFormat/>
    <w:uiPriority w:val="0"/>
    <w:pPr>
      <w:spacing w:after="140" w:line="276" w:lineRule="auto"/>
    </w:pPr>
    <w:rPr>
      <w:rFonts w:ascii="Times New Roman" w:hAnsi="Times New Roman"/>
    </w:r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Body Text Indent"/>
    <w:basedOn w:val="1"/>
    <w:qFormat/>
    <w:uiPriority w:val="0"/>
    <w:pPr>
      <w:spacing w:after="120"/>
      <w:ind w:left="420" w:leftChars="200"/>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Body Text First Indent"/>
    <w:basedOn w:val="3"/>
    <w:unhideWhenUsed/>
    <w:qFormat/>
    <w:uiPriority w:val="99"/>
    <w:pPr>
      <w:ind w:firstLine="420" w:firstLineChars="100"/>
    </w:pPr>
  </w:style>
  <w:style w:type="paragraph" w:styleId="8">
    <w:name w:val="Body Text First Indent 2"/>
    <w:basedOn w:val="5"/>
    <w:next w:val="7"/>
    <w:qFormat/>
    <w:uiPriority w:val="0"/>
    <w:pPr>
      <w:ind w:firstLine="420" w:firstLineChars="200"/>
    </w:pPr>
  </w:style>
  <w:style w:type="paragraph" w:customStyle="1" w:styleId="11">
    <w:name w:val="UserStyle_0"/>
    <w:qFormat/>
    <w:uiPriority w:val="0"/>
    <w:pPr>
      <w:textAlignment w:val="baseline"/>
    </w:pPr>
    <w:rPr>
      <w:rFonts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5428</Words>
  <Characters>5606</Characters>
  <Lines>0</Lines>
  <Paragraphs>0</Paragraphs>
  <TotalTime>0</TotalTime>
  <ScaleCrop>false</ScaleCrop>
  <LinksUpToDate>false</LinksUpToDate>
  <CharactersWithSpaces>5614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2023-06-06T06:38:00Z</dcterms:created>
  <dc:creator>yanglinyi</dc:creator>
  <cp:lastModifiedBy>cjs</cp:lastModifiedBy>
  <dcterms:modified xsi:type="dcterms:W3CDTF">2023-06-06T08:23:51Z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64943E943C8149629BF8E9A20A83AF05_12</vt:lpwstr>
  </property>
</Properties>
</file>